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大庆泰泽机械加工有限公司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0074-2018-2021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lang w:val="en-US" w:eastAsia="zh-CN"/>
        </w:rPr>
        <w:t>2021</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0074-2018-2021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大庆泰泽机械加工有限公司</w:t>
            </w:r>
            <w:bookmarkEnd w:id="4"/>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谢宝红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ISC-2018-0265</w:t>
            </w:r>
            <w:bookmarkEnd w:id="6"/>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2023-06-18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2021年05月29日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姓名及确认号</w:t>
            </w:r>
          </w:p>
        </w:tc>
        <w:tc>
          <w:tcPr>
            <w:tcW w:w="3119" w:type="dxa"/>
            <w:vAlign w:val="center"/>
          </w:tcPr>
          <w:p>
            <w:pPr>
              <w:tabs>
                <w:tab w:val="left" w:pos="880"/>
              </w:tabs>
              <w:autoSpaceDE w:val="0"/>
              <w:autoSpaceDN w:val="0"/>
              <w:adjustRightInd w:val="0"/>
              <w:spacing w:before="35" w:line="276" w:lineRule="auto"/>
              <w:ind w:right="161"/>
              <w:jc w:val="both"/>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 xml:space="preserve">张龙光 </w:t>
            </w:r>
          </w:p>
          <w:p>
            <w:pPr>
              <w:tabs>
                <w:tab w:val="left" w:pos="880"/>
              </w:tabs>
              <w:autoSpaceDE w:val="0"/>
              <w:autoSpaceDN w:val="0"/>
              <w:adjustRightInd w:val="0"/>
              <w:spacing w:before="35" w:line="276" w:lineRule="auto"/>
              <w:ind w:right="161" w:rightChars="0"/>
              <w:jc w:val="both"/>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中认协评[2020]188号ISC[S]0201</w:t>
            </w:r>
          </w:p>
        </w:tc>
        <w:tc>
          <w:tcPr>
            <w:tcW w:w="1984" w:type="dxa"/>
            <w:vAlign w:val="center"/>
          </w:tcPr>
          <w:p>
            <w:pPr>
              <w:tabs>
                <w:tab w:val="left" w:pos="880"/>
              </w:tabs>
              <w:autoSpaceDE w:val="0"/>
              <w:autoSpaceDN w:val="0"/>
              <w:adjustRightInd w:val="0"/>
              <w:spacing w:before="35" w:line="276" w:lineRule="auto"/>
              <w:ind w:right="161" w:rightChars="0"/>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监督审核涉及的区域或部门</w:t>
            </w:r>
          </w:p>
        </w:tc>
        <w:tc>
          <w:tcPr>
            <w:tcW w:w="2268" w:type="dxa"/>
            <w:vAlign w:val="center"/>
          </w:tcPr>
          <w:p>
            <w:pPr>
              <w:jc w:val="center"/>
              <w:rPr>
                <w:rFonts w:hint="eastAsia"/>
                <w:color w:val="auto"/>
                <w:szCs w:val="21"/>
                <w:lang w:eastAsia="zh-CN"/>
              </w:rPr>
            </w:pPr>
            <w:r>
              <w:rPr>
                <w:rFonts w:hint="eastAsia"/>
                <w:color w:val="auto"/>
                <w:szCs w:val="21"/>
                <w:lang w:eastAsia="zh-CN"/>
              </w:rPr>
              <w:t>生产技术部</w:t>
            </w:r>
          </w:p>
          <w:p>
            <w:pPr>
              <w:jc w:val="center"/>
              <w:rPr>
                <w:rFonts w:hint="default" w:ascii="宋体" w:hAnsi="宋体"/>
                <w:color w:val="auto"/>
                <w:szCs w:val="21"/>
                <w:lang w:val="en-US" w:eastAsia="zh-CN"/>
              </w:rPr>
            </w:pPr>
            <w:r>
              <w:rPr>
                <w:rFonts w:hint="eastAsia" w:ascii="宋体" w:hAnsi="宋体"/>
                <w:color w:val="auto"/>
                <w:szCs w:val="21"/>
                <w:lang w:val="en-US" w:eastAsia="zh-CN"/>
              </w:rPr>
              <w:t>综合办公室</w:t>
            </w:r>
          </w:p>
          <w:p>
            <w:pPr>
              <w:jc w:val="center"/>
              <w:rPr>
                <w:rFonts w:hint="eastAsia" w:ascii="宋体" w:hAnsi="宋体"/>
                <w:color w:val="auto"/>
                <w:szCs w:val="21"/>
                <w:lang w:eastAsia="zh-CN"/>
              </w:rPr>
            </w:pPr>
            <w:r>
              <w:rPr>
                <w:rFonts w:hint="eastAsia" w:ascii="宋体" w:hAnsi="宋体"/>
                <w:color w:val="auto"/>
                <w:szCs w:val="21"/>
                <w:lang w:val="en-US" w:eastAsia="zh-CN"/>
              </w:rPr>
              <w:t>研发部、</w:t>
            </w:r>
            <w:r>
              <w:rPr>
                <w:rFonts w:hint="eastAsia" w:ascii="宋体" w:hAnsi="宋体"/>
                <w:color w:val="auto"/>
                <w:szCs w:val="21"/>
                <w:lang w:eastAsia="zh-CN"/>
              </w:rPr>
              <w:t>质检部</w:t>
            </w:r>
          </w:p>
          <w:p>
            <w:pPr>
              <w:tabs>
                <w:tab w:val="left" w:pos="880"/>
              </w:tabs>
              <w:autoSpaceDE w:val="0"/>
              <w:autoSpaceDN w:val="0"/>
              <w:adjustRightInd w:val="0"/>
              <w:spacing w:before="35" w:line="276" w:lineRule="auto"/>
              <w:ind w:right="161" w:rightChars="0"/>
              <w:jc w:val="center"/>
              <w:rPr>
                <w:rFonts w:hint="default" w:cs="宋体" w:asciiTheme="minorEastAsia" w:hAnsiTheme="minorEastAsia" w:eastAsiaTheme="minorEastAsia"/>
                <w:kern w:val="0"/>
                <w:sz w:val="21"/>
                <w:szCs w:val="21"/>
                <w:lang w:val="en-US" w:eastAsia="zh-CN" w:bidi="ar-SA"/>
              </w:rPr>
            </w:pPr>
            <w:r>
              <w:rPr>
                <w:rFonts w:hint="eastAsia" w:ascii="宋体" w:hAnsi="宋体"/>
                <w:color w:val="auto"/>
                <w:szCs w:val="21"/>
                <w:lang w:val="en-US" w:eastAsia="zh-CN"/>
              </w:rPr>
              <w:t>采购部、销售部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276" w:lineRule="auto"/>
        <w:rPr>
          <w:rFonts w:hint="default" w:cs="宋体" w:asciiTheme="minorEastAsia" w:hAnsiTheme="minorEastAsia"/>
          <w:bCs/>
          <w:kern w:val="0"/>
          <w:szCs w:val="21"/>
          <w:lang w:val="en-US" w:eastAsia="zh-CN"/>
        </w:rPr>
      </w:pPr>
      <w:r>
        <w:rPr>
          <w:rFonts w:hint="eastAsia" w:cs="宋体" w:asciiTheme="minorEastAsia" w:hAnsiTheme="minorEastAsia"/>
          <w:bCs/>
          <w:kern w:val="0"/>
          <w:szCs w:val="21"/>
        </w:rPr>
        <w:t xml:space="preserve">1.1 </w:t>
      </w:r>
      <w:r>
        <w:rPr>
          <w:rFonts w:hint="eastAsia" w:cs="宋体" w:asciiTheme="minorEastAsia" w:hAnsiTheme="minorEastAsia"/>
          <w:bCs/>
          <w:kern w:val="0"/>
          <w:szCs w:val="21"/>
          <w:lang w:val="en-US" w:eastAsia="zh-CN"/>
        </w:rPr>
        <w:t>质检部主抓测量管理体系日常运行。按照体系文件要求开展工作。</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2.内部审核和管理评审</w:t>
      </w:r>
      <w:r>
        <w:rPr>
          <w:rFonts w:cs="宋体" w:asciiTheme="minorEastAsia" w:hAnsiTheme="minorEastAsia"/>
          <w:bCs/>
          <w:kern w:val="0"/>
          <w:szCs w:val="21"/>
        </w:rPr>
        <w:t>的情况：</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2.1内审情况：公司于202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22</w:t>
      </w:r>
      <w:r>
        <w:rPr>
          <w:rFonts w:hint="eastAsia" w:cs="宋体" w:asciiTheme="minorEastAsia" w:hAnsiTheme="minorEastAsia"/>
          <w:bCs/>
          <w:kern w:val="0"/>
          <w:szCs w:val="21"/>
        </w:rPr>
        <w:t>日组织了公司</w:t>
      </w:r>
      <w:r>
        <w:rPr>
          <w:rFonts w:cs="宋体" w:asciiTheme="minorEastAsia" w:hAnsiTheme="minorEastAsia"/>
          <w:bCs/>
          <w:kern w:val="0"/>
          <w:szCs w:val="21"/>
        </w:rPr>
        <w:t>测量管理体系</w:t>
      </w:r>
      <w:r>
        <w:rPr>
          <w:rFonts w:hint="eastAsia" w:cs="宋体" w:asciiTheme="minorEastAsia" w:hAnsiTheme="minorEastAsia"/>
          <w:bCs/>
          <w:kern w:val="0"/>
          <w:szCs w:val="21"/>
          <w:lang w:val="en-US" w:eastAsia="zh-CN"/>
        </w:rPr>
        <w:t>内审</w:t>
      </w:r>
      <w:r>
        <w:rPr>
          <w:rFonts w:hint="eastAsia" w:cs="宋体" w:asciiTheme="minorEastAsia" w:hAnsiTheme="minorEastAsia"/>
          <w:bCs/>
          <w:kern w:val="0"/>
          <w:szCs w:val="21"/>
        </w:rPr>
        <w:t>，</w:t>
      </w:r>
      <w:r>
        <w:rPr>
          <w:rFonts w:hint="eastAsia" w:cs="宋体" w:asciiTheme="minorEastAsia" w:hAnsiTheme="minorEastAsia"/>
          <w:bCs/>
          <w:kern w:val="0"/>
          <w:szCs w:val="21"/>
          <w:lang w:val="en-US" w:eastAsia="zh-CN"/>
        </w:rPr>
        <w:t>曲万红</w:t>
      </w:r>
      <w:r>
        <w:rPr>
          <w:rFonts w:hint="eastAsia" w:cs="宋体" w:asciiTheme="minorEastAsia" w:hAnsiTheme="minorEastAsia"/>
          <w:bCs/>
          <w:kern w:val="0"/>
          <w:szCs w:val="21"/>
        </w:rPr>
        <w:t>任组长参与审核。内审组对公司包括管理层在内的</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个职能部门和生产车间进行了全要素的审核。内部审核发现1个不符合项，制定了相关的预防纠正措施，并在规定时间内，完成整改工作，不符合项已关闭。</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2.2管理评审情况：企业于20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30</w:t>
      </w:r>
      <w:r>
        <w:rPr>
          <w:rFonts w:hint="eastAsia" w:cs="宋体" w:asciiTheme="minorEastAsia" w:hAnsiTheme="minorEastAsia"/>
          <w:bCs/>
          <w:kern w:val="0"/>
          <w:szCs w:val="21"/>
        </w:rPr>
        <w:t>日</w:t>
      </w:r>
      <w:r>
        <w:rPr>
          <w:rFonts w:cs="宋体" w:asciiTheme="minorEastAsia" w:hAnsiTheme="minorEastAsia"/>
          <w:bCs/>
          <w:kern w:val="0"/>
          <w:szCs w:val="21"/>
        </w:rPr>
        <w:t>开展</w:t>
      </w:r>
      <w:r>
        <w:rPr>
          <w:rFonts w:hint="eastAsia" w:cs="宋体" w:asciiTheme="minorEastAsia" w:hAnsiTheme="minorEastAsia"/>
          <w:bCs/>
          <w:kern w:val="0"/>
          <w:szCs w:val="21"/>
        </w:rPr>
        <w:t>了</w:t>
      </w:r>
      <w:r>
        <w:rPr>
          <w:rFonts w:hint="eastAsia" w:cs="宋体" w:asciiTheme="minorEastAsia" w:hAnsiTheme="minorEastAsia"/>
          <w:bCs/>
          <w:kern w:val="0"/>
          <w:szCs w:val="21"/>
          <w:lang w:val="en-US" w:eastAsia="zh-CN"/>
        </w:rPr>
        <w:t>测量管理体系</w:t>
      </w:r>
      <w:r>
        <w:rPr>
          <w:rFonts w:hint="eastAsia" w:cs="宋体" w:asciiTheme="minorEastAsia" w:hAnsiTheme="minorEastAsia"/>
          <w:bCs/>
          <w:kern w:val="0"/>
          <w:szCs w:val="21"/>
        </w:rPr>
        <w:t>管理评审，会议由</w:t>
      </w:r>
      <w:r>
        <w:rPr>
          <w:rFonts w:hint="eastAsia" w:cs="宋体" w:asciiTheme="minorEastAsia" w:hAnsiTheme="minorEastAsia"/>
          <w:bCs/>
          <w:kern w:val="0"/>
          <w:szCs w:val="21"/>
          <w:lang w:eastAsia="zh-CN"/>
        </w:rPr>
        <w:t>总</w:t>
      </w:r>
      <w:r>
        <w:rPr>
          <w:rFonts w:hint="eastAsia" w:cs="宋体" w:asciiTheme="minorEastAsia" w:hAnsiTheme="minorEastAsia"/>
          <w:bCs/>
          <w:kern w:val="0"/>
          <w:szCs w:val="21"/>
        </w:rPr>
        <w:t>经理</w:t>
      </w:r>
      <w:r>
        <w:rPr>
          <w:rFonts w:hint="eastAsia" w:cs="宋体" w:asciiTheme="minorEastAsia" w:hAnsiTheme="minorEastAsia"/>
          <w:bCs/>
          <w:kern w:val="0"/>
          <w:szCs w:val="21"/>
          <w:lang w:val="en-US" w:eastAsia="zh-CN"/>
        </w:rPr>
        <w:t>王文龙</w:t>
      </w:r>
      <w:r>
        <w:rPr>
          <w:rFonts w:hint="eastAsia" w:cs="宋体" w:asciiTheme="minorEastAsia" w:hAnsiTheme="minorEastAsia"/>
          <w:bCs/>
          <w:kern w:val="0"/>
          <w:szCs w:val="21"/>
        </w:rPr>
        <w:t>主持，管评会上肯定了公司测量管理体系的充分性、有效性和适宜性。形成了管理评审报告。对公司测量管理体系中存在的</w:t>
      </w:r>
      <w:r>
        <w:rPr>
          <w:rFonts w:hint="eastAsia" w:cs="宋体" w:asciiTheme="minorEastAsia" w:hAnsiTheme="minorEastAsia"/>
          <w:bCs/>
          <w:kern w:val="0"/>
          <w:szCs w:val="21"/>
          <w:lang w:val="en-US" w:eastAsia="zh-CN"/>
        </w:rPr>
        <w:t>检验记录</w:t>
      </w:r>
      <w:r>
        <w:rPr>
          <w:rFonts w:hint="eastAsia" w:cs="宋体" w:asciiTheme="minorEastAsia" w:hAnsiTheme="minorEastAsia"/>
          <w:bCs/>
          <w:kern w:val="0"/>
          <w:szCs w:val="21"/>
        </w:rPr>
        <w:t>的管理上的薄弱环节，提出加强检测记录的管理，做好人员培训工作问题，落实了整改部门。管理评审结论为：公司测量管理体系基本有效运行，符合</w:t>
      </w:r>
      <w:r>
        <w:rPr>
          <w:rFonts w:cs="宋体" w:asciiTheme="minorEastAsia" w:hAnsiTheme="minorEastAsia"/>
          <w:bCs/>
          <w:kern w:val="0"/>
          <w:szCs w:val="21"/>
        </w:rPr>
        <w:t>GB/T 19022-2003</w:t>
      </w:r>
      <w:r>
        <w:rPr>
          <w:rFonts w:hint="eastAsia" w:cs="宋体" w:asciiTheme="minorEastAsia" w:hAnsiTheme="minorEastAsia"/>
          <w:bCs/>
          <w:kern w:val="0"/>
          <w:szCs w:val="21"/>
        </w:rPr>
        <w:t>标准要求。</w:t>
      </w:r>
    </w:p>
    <w:p>
      <w:pPr>
        <w:widowControl/>
        <w:spacing w:line="276" w:lineRule="auto"/>
        <w:rPr>
          <w:rFonts w:hint="eastAsia" w:cs="宋体" w:asciiTheme="minorEastAsia" w:hAnsiTheme="minorEastAsia"/>
          <w:bCs/>
          <w:kern w:val="0"/>
          <w:szCs w:val="21"/>
          <w:lang w:eastAsia="zh-CN"/>
        </w:rPr>
      </w:pP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为持续改进而策划的活动的进展企业对识别的关键测量过程进行了持续的控制</w:t>
      </w:r>
      <w:r>
        <w:rPr>
          <w:rFonts w:hint="eastAsia" w:cs="宋体" w:asciiTheme="minorEastAsia" w:hAnsiTheme="minorEastAsia"/>
          <w:bCs/>
          <w:kern w:val="0"/>
          <w:szCs w:val="21"/>
          <w:lang w:eastAsia="zh-CN"/>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3</w:t>
      </w:r>
      <w:r>
        <w:rPr>
          <w:rFonts w:cs="宋体" w:asciiTheme="minorEastAsia" w:hAnsiTheme="minorEastAsia"/>
          <w:bCs/>
          <w:kern w:val="0"/>
          <w:szCs w:val="21"/>
        </w:rPr>
        <w:t xml:space="preserve">.1 </w:t>
      </w:r>
      <w:r>
        <w:rPr>
          <w:rFonts w:hint="eastAsia" w:cs="宋体" w:asciiTheme="minorEastAsia" w:hAnsiTheme="minorEastAsia"/>
          <w:bCs/>
          <w:kern w:val="0"/>
          <w:szCs w:val="21"/>
        </w:rPr>
        <w:t>该企业主要是：</w:t>
      </w:r>
      <w:r>
        <w:rPr>
          <w:rFonts w:hint="eastAsia" w:ascii="宋体" w:hAnsi="宋体" w:cs="宋体"/>
          <w:szCs w:val="21"/>
          <w:lang w:val="en-US" w:eastAsia="zh-CN"/>
        </w:rPr>
        <w:t>钻采设备及工具（井下作业工具、采油井口装置、采油专用测试仪器附件）、</w:t>
      </w:r>
      <w:r>
        <w:rPr>
          <w:rFonts w:hint="eastAsia" w:ascii="宋体" w:hAnsi="宋体" w:cs="宋体"/>
          <w:szCs w:val="21"/>
        </w:rPr>
        <w:t>封隔器、油管锚、油管短节、筛管、扶正器、试采工具、</w:t>
      </w:r>
      <w:r>
        <w:rPr>
          <w:rFonts w:hint="eastAsia" w:ascii="宋体" w:hAnsi="宋体" w:cs="宋体"/>
          <w:szCs w:val="21"/>
          <w:lang w:eastAsia="zh-CN"/>
        </w:rPr>
        <w:t>桥塞、配水器、测试工具、</w:t>
      </w:r>
      <w:r>
        <w:rPr>
          <w:rFonts w:hint="eastAsia" w:ascii="宋体" w:hAnsi="宋体" w:cs="宋体"/>
          <w:szCs w:val="21"/>
          <w:lang w:val="en-US" w:eastAsia="zh-CN"/>
        </w:rPr>
        <w:t>抽油机配件的制造（需资质许可除外）、机械加工</w:t>
      </w:r>
      <w:r>
        <w:rPr>
          <w:rFonts w:hint="eastAsia" w:ascii="宋体" w:hAnsi="宋体" w:cs="宋体"/>
          <w:szCs w:val="21"/>
        </w:rPr>
        <w:t>的生产</w:t>
      </w:r>
      <w:r>
        <w:rPr>
          <w:rFonts w:hint="eastAsia" w:ascii="宋体" w:hAnsi="宋体" w:cs="宋体"/>
          <w:bCs/>
          <w:kern w:val="0"/>
          <w:szCs w:val="21"/>
          <w:lang w:eastAsia="zh-CN"/>
        </w:rPr>
        <w:t>，</w:t>
      </w:r>
      <w:r>
        <w:rPr>
          <w:rFonts w:hint="eastAsia" w:ascii="宋体" w:hAnsi="宋体" w:cs="宋体"/>
          <w:bCs/>
          <w:kern w:val="0"/>
          <w:szCs w:val="21"/>
        </w:rPr>
        <w:t>共识别</w:t>
      </w:r>
      <w:r>
        <w:rPr>
          <w:rFonts w:hint="eastAsia" w:ascii="宋体" w:hAnsi="宋体" w:cs="宋体"/>
          <w:bCs/>
          <w:kern w:val="0"/>
          <w:szCs w:val="21"/>
          <w:lang w:val="en-US" w:eastAsia="zh-CN"/>
        </w:rPr>
        <w:t>封隔器中心管硬度</w:t>
      </w:r>
      <w:r>
        <w:rPr>
          <w:rFonts w:hint="eastAsia" w:ascii="宋体" w:hAnsi="宋体" w:cs="宋体"/>
          <w:bCs/>
          <w:kern w:val="0"/>
          <w:szCs w:val="21"/>
        </w:rPr>
        <w:t>等</w:t>
      </w:r>
      <w:r>
        <w:rPr>
          <w:rFonts w:hint="eastAsia" w:ascii="宋体" w:hAnsi="宋体" w:cs="宋体"/>
          <w:bCs/>
          <w:kern w:val="0"/>
          <w:szCs w:val="21"/>
          <w:lang w:val="en-US" w:eastAsia="zh-CN"/>
        </w:rPr>
        <w:t>28</w:t>
      </w:r>
      <w:r>
        <w:rPr>
          <w:rFonts w:hint="eastAsia" w:ascii="宋体" w:hAnsi="宋体" w:cs="宋体"/>
          <w:bCs/>
          <w:kern w:val="0"/>
          <w:szCs w:val="21"/>
        </w:rPr>
        <w:t>个测量过程</w:t>
      </w:r>
      <w:r>
        <w:rPr>
          <w:rFonts w:hint="eastAsia" w:ascii="宋体" w:hAnsi="宋体" w:cs="宋体"/>
          <w:bCs/>
          <w:kern w:val="0"/>
          <w:szCs w:val="21"/>
          <w:lang w:eastAsia="zh-CN"/>
        </w:rPr>
        <w:t>，</w:t>
      </w:r>
      <w:r>
        <w:rPr>
          <w:rFonts w:hint="eastAsia" w:cs="宋体" w:asciiTheme="minorEastAsia" w:hAnsiTheme="minorEastAsia"/>
          <w:bCs/>
          <w:kern w:val="0"/>
          <w:szCs w:val="21"/>
          <w:lang w:val="en-US" w:eastAsia="zh-CN"/>
        </w:rPr>
        <w:t>封隔器中心管硬度测量过程</w:t>
      </w:r>
      <w:r>
        <w:rPr>
          <w:rFonts w:hint="eastAsia" w:cs="宋体" w:asciiTheme="minorEastAsia" w:hAnsiTheme="minorEastAsia"/>
          <w:bCs/>
          <w:kern w:val="0"/>
          <w:szCs w:val="21"/>
        </w:rPr>
        <w:t>为</w:t>
      </w:r>
      <w:r>
        <w:rPr>
          <w:rFonts w:hint="eastAsia" w:cs="宋体" w:asciiTheme="minorEastAsia" w:hAnsiTheme="minorEastAsia"/>
          <w:bCs/>
          <w:kern w:val="0"/>
          <w:szCs w:val="21"/>
          <w:lang w:eastAsia="zh-CN"/>
        </w:rPr>
        <w:t>高度</w:t>
      </w:r>
      <w:r>
        <w:rPr>
          <w:rFonts w:hint="eastAsia" w:cs="宋体" w:asciiTheme="minorEastAsia" w:hAnsiTheme="minorEastAsia"/>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hint="eastAsia" w:ascii="宋体" w:hAnsi="宋体" w:cs="宋体"/>
          <w:bCs/>
          <w:kern w:val="0"/>
          <w:szCs w:val="21"/>
          <w:lang w:val="en-US" w:eastAsia="zh-CN"/>
        </w:rPr>
        <w:t>3</w:t>
      </w:r>
      <w:r>
        <w:rPr>
          <w:rFonts w:ascii="宋体" w:hAnsi="宋体" w:cs="宋体"/>
          <w:bCs/>
          <w:kern w:val="0"/>
          <w:szCs w:val="21"/>
        </w:rPr>
        <w:t>.2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43</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宋体"/>
          <w:bCs/>
          <w:kern w:val="0"/>
          <w:szCs w:val="21"/>
          <w:lang w:val="en-US" w:eastAsia="zh-CN"/>
        </w:rPr>
        <w:t>封隔器中心管硬度</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hint="eastAsia" w:ascii="宋体" w:hAnsi="宋体" w:cs="宋体"/>
          <w:bCs/>
          <w:kern w:val="0"/>
          <w:szCs w:val="21"/>
          <w:lang w:val="en-US" w:eastAsia="zh-CN"/>
        </w:rPr>
        <w:t>3</w:t>
      </w:r>
      <w:r>
        <w:rPr>
          <w:rFonts w:ascii="宋体" w:hAnsi="宋体" w:cs="宋体"/>
          <w:bCs/>
          <w:kern w:val="0"/>
          <w:szCs w:val="21"/>
        </w:rPr>
        <w:t xml:space="preserve">.3. </w:t>
      </w:r>
      <w:r>
        <w:rPr>
          <w:rFonts w:hint="eastAsia" w:ascii="宋体" w:hAnsi="宋体" w:cs="宋体"/>
          <w:bCs/>
          <w:kern w:val="0"/>
          <w:szCs w:val="21"/>
        </w:rPr>
        <w:t>企业</w:t>
      </w:r>
      <w:r>
        <w:rPr>
          <w:rFonts w:hint="eastAsia" w:ascii="宋体" w:hAnsi="宋体" w:cs="宋体"/>
          <w:bCs/>
          <w:kern w:val="0"/>
          <w:szCs w:val="21"/>
          <w:lang w:eastAsia="zh-CN"/>
        </w:rPr>
        <w:t>封隔器中心管硬度</w:t>
      </w:r>
      <w:r>
        <w:rPr>
          <w:rFonts w:hint="eastAsia" w:ascii="宋体" w:hAnsi="宋体" w:cs="宋体"/>
          <w:bCs/>
          <w:kern w:val="0"/>
          <w:szCs w:val="21"/>
          <w:lang w:val="en-US" w:eastAsia="zh-CN"/>
        </w:rPr>
        <w:t>测量过程</w:t>
      </w:r>
      <w:r>
        <w:rPr>
          <w:rFonts w:hint="eastAsia" w:ascii="宋体" w:hAnsi="宋体" w:cs="宋体"/>
          <w:bCs/>
          <w:kern w:val="0"/>
          <w:szCs w:val="21"/>
        </w:rPr>
        <w:t>，查看了关键测量过程，计量要求导出方法基本正确；测量设备的配备满足计量要求，测量设备经过校准，测量设备验证方法正确。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hint="eastAsia" w:ascii="宋体" w:hAnsi="宋体" w:cs="宋体"/>
          <w:bCs/>
          <w:kern w:val="0"/>
          <w:szCs w:val="21"/>
          <w:lang w:val="en-US" w:eastAsia="zh-CN"/>
        </w:rPr>
        <w:t>3</w:t>
      </w:r>
      <w:r>
        <w:rPr>
          <w:rFonts w:ascii="宋体" w:hAnsi="宋体" w:cs="宋体"/>
          <w:bCs/>
          <w:kern w:val="0"/>
          <w:szCs w:val="21"/>
        </w:rPr>
        <w:t>.4</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lang w:val="en-US" w:eastAsia="zh-CN"/>
        </w:rPr>
        <w:t>封隔器中心管硬度测量过程</w:t>
      </w:r>
      <w:r>
        <w:rPr>
          <w:rFonts w:hint="eastAsia" w:ascii="宋体" w:hAnsi="宋体" w:cs="宋体"/>
          <w:bCs/>
          <w:kern w:val="0"/>
          <w:szCs w:val="21"/>
        </w:rPr>
        <w:t>不确定度评定》，方法和结果正确；</w:t>
      </w:r>
    </w:p>
    <w:p>
      <w:pPr>
        <w:widowControl/>
        <w:spacing w:line="360" w:lineRule="auto"/>
        <w:rPr>
          <w:rFonts w:ascii="宋体" w:cs="宋体"/>
          <w:bCs/>
          <w:kern w:val="0"/>
          <w:szCs w:val="21"/>
        </w:rPr>
      </w:pPr>
      <w:r>
        <w:rPr>
          <w:rFonts w:hint="eastAsia" w:ascii="宋体" w:hAnsi="宋体" w:cs="宋体"/>
          <w:bCs/>
          <w:kern w:val="0"/>
          <w:szCs w:val="21"/>
          <w:lang w:val="en-US" w:eastAsia="zh-CN"/>
        </w:rPr>
        <w:t>3</w:t>
      </w:r>
      <w:r>
        <w:rPr>
          <w:rFonts w:ascii="宋体" w:hAnsi="宋体" w:cs="宋体"/>
          <w:bCs/>
          <w:kern w:val="0"/>
          <w:szCs w:val="21"/>
        </w:rPr>
        <w:t>.5</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lang w:val="en-US" w:eastAsia="zh-CN"/>
        </w:rPr>
        <w:t>封隔器中心管硬度测量过程</w:t>
      </w:r>
      <w:r>
        <w:rPr>
          <w:rFonts w:hint="eastAsia" w:ascii="宋体" w:hAnsi="宋体" w:cs="宋体"/>
          <w:bCs/>
          <w:kern w:val="0"/>
          <w:szCs w:val="21"/>
        </w:rPr>
        <w:t>计量要求导出和计量验证记录表》，信息内容完整、正确。</w:t>
      </w:r>
    </w:p>
    <w:p>
      <w:pPr>
        <w:widowControl/>
        <w:spacing w:line="276" w:lineRule="auto"/>
        <w:rPr>
          <w:rFonts w:cs="宋体" w:asciiTheme="minorEastAsia" w:hAnsiTheme="minorEastAsia"/>
          <w:kern w:val="0"/>
          <w:szCs w:val="21"/>
        </w:rPr>
      </w:pPr>
      <w:r>
        <w:rPr>
          <w:rFonts w:hint="eastAsia" w:asciiTheme="minorEastAsia" w:hAnsiTheme="minorEastAsia"/>
          <w:bCs/>
          <w:szCs w:val="21"/>
          <w:lang w:val="en-US" w:eastAsia="zh-CN"/>
        </w:rPr>
        <w:t>4</w:t>
      </w:r>
      <w:r>
        <w:rPr>
          <w:rFonts w:hint="eastAsia" w:asciiTheme="minorEastAsia" w:hAnsiTheme="minorEastAsia"/>
          <w:bCs/>
          <w:szCs w:val="21"/>
        </w:rPr>
        <w:t>.对认证审核时提出的的不符合项的纠正措施情况表述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snapToGrid w:val="0"/>
        <w:spacing w:line="460" w:lineRule="exact"/>
        <w:ind w:firstLine="420" w:firstLineChars="200"/>
        <w:rPr>
          <w:rFonts w:hint="eastAsia" w:ascii="宋体" w:hAnsi="宋体"/>
          <w:bCs/>
          <w:szCs w:val="21"/>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w:t>
      </w:r>
    </w:p>
    <w:p>
      <w:pPr>
        <w:snapToGrid w:val="0"/>
        <w:spacing w:line="4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质检部购买</w:t>
      </w:r>
      <w:r>
        <w:rPr>
          <w:rFonts w:hint="eastAsia" w:ascii="宋体" w:hAnsi="宋体" w:cs="宋体"/>
          <w:kern w:val="0"/>
          <w:szCs w:val="21"/>
        </w:rPr>
        <w:t>产品标准《封隔器和桥塞，API SPEC 11D1》的《勘误1》，</w:t>
      </w:r>
      <w:r>
        <w:rPr>
          <w:rFonts w:hint="eastAsia" w:ascii="宋体" w:hAnsi="宋体" w:cs="宋体"/>
          <w:kern w:val="0"/>
          <w:szCs w:val="21"/>
          <w:lang w:val="en-US" w:eastAsia="zh-CN"/>
        </w:rPr>
        <w:t>保持标准更新状态。对有关人员进行了培训，防止类似问题的再次发生。该公司所采取的纠正措施按时整改完成，纠正措施有效，同意关闭不符合项。</w:t>
      </w:r>
    </w:p>
    <w:p>
      <w:pPr>
        <w:numPr>
          <w:ilvl w:val="0"/>
          <w:numId w:val="0"/>
        </w:numPr>
        <w:snapToGrid w:val="0"/>
        <w:spacing w:line="460" w:lineRule="exact"/>
        <w:ind w:leftChars="0"/>
        <w:rPr>
          <w:rFonts w:cs="宋体" w:asciiTheme="minorEastAsia" w:hAnsiTheme="minorEastAsia"/>
          <w:bCs/>
          <w:kern w:val="0"/>
          <w:szCs w:val="21"/>
        </w:rPr>
      </w:pP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公司目前尚未接到客户在产品质量、物料交接、安全、现场管理等方面的投诉和纠纷。</w:t>
      </w:r>
    </w:p>
    <w:p>
      <w:pPr>
        <w:widowControl/>
        <w:numPr>
          <w:ilvl w:val="0"/>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6.</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numPr>
          <w:ilvl w:val="0"/>
          <w:numId w:val="1"/>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420" w:firstLineChars="200"/>
        <w:rPr>
          <w:rFonts w:hint="eastAsia" w:asciiTheme="minorEastAsia" w:hAnsiTheme="minorEastAsia"/>
          <w:bCs/>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没有变化</w:t>
      </w:r>
      <w:r>
        <w:rPr>
          <w:rFonts w:hint="eastAsia" w:ascii="宋体" w:hAnsi="宋体" w:cs="宋体"/>
          <w:bCs/>
          <w:kern w:val="0"/>
          <w:szCs w:val="21"/>
          <w:lang w:eastAsia="zh-CN"/>
        </w:rPr>
        <w:t>，</w:t>
      </w:r>
      <w:r>
        <w:rPr>
          <w:rFonts w:hint="eastAsia" w:ascii="宋体" w:hAnsi="宋体" w:cs="宋体"/>
          <w:bCs/>
          <w:kern w:val="0"/>
          <w:szCs w:val="21"/>
        </w:rPr>
        <w:t>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numPr>
          <w:ilvl w:val="0"/>
          <w:numId w:val="0"/>
        </w:numPr>
        <w:spacing w:line="360" w:lineRule="auto"/>
        <w:rPr>
          <w:rFonts w:hint="eastAsia" w:ascii="宋体" w:hAnsi="宋体" w:cs="宋体"/>
          <w:bCs/>
          <w:kern w:val="0"/>
          <w:szCs w:val="21"/>
        </w:rPr>
      </w:pPr>
      <w:r>
        <w:rPr>
          <w:rFonts w:hint="eastAsia" w:ascii="宋体" w:hAnsi="宋体" w:cs="宋体"/>
          <w:bCs/>
          <w:kern w:val="0"/>
          <w:szCs w:val="21"/>
          <w:lang w:val="en-US" w:eastAsia="zh-CN"/>
        </w:rPr>
        <w:t>8.1</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w:t>
      </w:r>
      <w:r>
        <w:rPr>
          <w:rFonts w:hint="eastAsia" w:ascii="宋体" w:hAnsi="宋体" w:cs="宋体"/>
          <w:bCs/>
          <w:kern w:val="0"/>
          <w:szCs w:val="21"/>
          <w:lang w:val="en-US" w:eastAsia="zh-CN"/>
        </w:rPr>
        <w:t>吉林油田、新疆油田、青海油田、西部钻探</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hint="eastAsia" w:ascii="宋体" w:hAnsi="宋体" w:cs="宋体"/>
          <w:bCs/>
          <w:kern w:val="0"/>
          <w:szCs w:val="21"/>
          <w:lang w:val="en-US" w:eastAsia="zh-CN"/>
        </w:rPr>
        <w:t>9</w:t>
      </w:r>
      <w:r>
        <w:rPr>
          <w:rFonts w:ascii="宋体" w:hAnsi="宋体" w:cs="宋体"/>
          <w:bCs/>
          <w:kern w:val="0"/>
          <w:szCs w:val="21"/>
        </w:rPr>
        <w:t>.</w:t>
      </w:r>
      <w:r>
        <w:rPr>
          <w:rFonts w:hint="eastAsia" w:ascii="宋体" w:hAnsi="宋体" w:cs="宋体"/>
          <w:kern w:val="0"/>
          <w:szCs w:val="21"/>
        </w:rPr>
        <w:t>本次审核发现一般不符合项1项，未发现严重的或系统性的不符合情况。</w:t>
      </w:r>
    </w:p>
    <w:p>
      <w:pPr>
        <w:widowControl/>
        <w:spacing w:line="360" w:lineRule="auto"/>
        <w:jc w:val="left"/>
        <w:rPr>
          <w:rFonts w:hint="eastAsia" w:ascii="宋体" w:hAnsi="宋体"/>
          <w:color w:val="auto"/>
          <w:szCs w:val="21"/>
          <w:lang w:eastAsia="zh-CN"/>
        </w:rPr>
      </w:pPr>
      <w:r>
        <w:rPr>
          <w:rFonts w:hint="eastAsia" w:ascii="宋体" w:hAnsi="宋体"/>
          <w:szCs w:val="21"/>
          <w:lang w:val="en-US" w:eastAsia="zh-CN"/>
        </w:rPr>
        <w:t>9.1发现本次内审与上一次内审时间间隔超过公司规定的12个月，不符合</w:t>
      </w:r>
      <w:r>
        <w:rPr>
          <w:rFonts w:hint="eastAsia" w:ascii="宋体" w:hAnsi="宋体" w:cs="宋体"/>
          <w:kern w:val="0"/>
          <w:szCs w:val="21"/>
        </w:rPr>
        <w:t xml:space="preserve">GB/T19022-2003  </w:t>
      </w:r>
      <w:r>
        <w:rPr>
          <w:rFonts w:hint="eastAsia" w:ascii="宋体" w:hAnsi="宋体" w:cs="宋体"/>
          <w:kern w:val="0"/>
          <w:szCs w:val="21"/>
          <w:lang w:val="en-US" w:eastAsia="zh-CN"/>
        </w:rPr>
        <w:t>8.2.4</w:t>
      </w:r>
      <w:r>
        <w:rPr>
          <w:rFonts w:hint="eastAsia" w:ascii="宋体" w:hAnsi="宋体" w:cs="宋体"/>
          <w:kern w:val="0"/>
          <w:szCs w:val="21"/>
        </w:rPr>
        <w:t>条款</w:t>
      </w:r>
      <w:r>
        <w:rPr>
          <w:rFonts w:hint="eastAsia" w:ascii="宋体" w:hAnsi="宋体"/>
          <w:szCs w:val="21"/>
          <w:lang w:val="en-US" w:eastAsia="zh-CN"/>
        </w:rPr>
        <w:t>“</w:t>
      </w:r>
      <w:r>
        <w:rPr>
          <w:rFonts w:hint="eastAsia" w:ascii="SimSun-Identity-H" w:hAnsi="SimSun-Identity-H" w:eastAsia="SimSun-Identity-H"/>
          <w:sz w:val="20"/>
        </w:rPr>
        <w:t>在构成测量管理体系的各个过程中，应监视计量确认和测量过程。监视应按照形成论据的程序和确定的时间间隔进行。</w:t>
      </w:r>
      <w:r>
        <w:rPr>
          <w:rFonts w:hint="eastAsia" w:ascii="宋体" w:hAnsi="宋体"/>
          <w:szCs w:val="21"/>
          <w:lang w:val="en-US" w:eastAsia="zh-CN"/>
        </w:rPr>
        <w:t>”的规定要求。</w:t>
      </w:r>
      <w:r>
        <w:rPr>
          <w:rFonts w:hint="eastAsia" w:ascii="宋体" w:hAnsi="宋体"/>
          <w:color w:val="auto"/>
          <w:szCs w:val="21"/>
          <w:lang w:eastAsia="zh-CN"/>
        </w:rPr>
        <w:t>属于次要不符合项。</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10.本企业为非重点用能单位，企业2020年1-12月耗能为17.3吨标准煤，企业的能源计量器具准确度等级：2.0级的三相四线电能表和2.5级的水表，满足GB17167标准4.3.8表4的标准要求。</w:t>
      </w:r>
    </w:p>
    <w:p>
      <w:pPr>
        <w:widowControl/>
        <w:spacing w:line="360" w:lineRule="auto"/>
        <w:jc w:val="left"/>
        <w:rPr>
          <w:rFonts w:hint="eastAsia" w:ascii="宋体" w:hAnsi="宋体" w:cs="宋体"/>
          <w:bCs/>
          <w:kern w:val="0"/>
          <w:szCs w:val="21"/>
          <w:lang w:val="en-US" w:eastAsia="zh-CN"/>
        </w:rPr>
      </w:pPr>
      <w:r>
        <w:rPr>
          <w:rFonts w:hint="eastAsia" w:ascii="宋体" w:hAnsi="宋体" w:cs="宋体"/>
          <w:bCs/>
          <w:kern w:val="0"/>
          <w:szCs w:val="21"/>
          <w:lang w:val="en-US" w:eastAsia="zh-CN"/>
        </w:rPr>
        <w:t>三、监督审核结论意见(含需要说明的事项):</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29</w:t>
      </w:r>
      <w:r>
        <w:rPr>
          <w:rFonts w:hint="eastAsia" w:ascii="宋体" w:hAnsi="宋体" w:cs="宋体"/>
          <w:bCs/>
          <w:kern w:val="0"/>
          <w:szCs w:val="21"/>
        </w:rPr>
        <w:t>日，对</w:t>
      </w:r>
      <w:r>
        <w:rPr>
          <w:rFonts w:hint="eastAsia" w:ascii="宋体" w:hAnsi="宋体"/>
          <w:szCs w:val="21"/>
          <w:lang w:eastAsia="zh-CN"/>
        </w:rPr>
        <w:t>公司</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w:t>
      </w:r>
      <w:r>
        <w:rPr>
          <w:rFonts w:hint="eastAsia" w:ascii="宋体" w:hAnsi="宋体" w:cs="宋体"/>
          <w:bCs/>
          <w:kern w:val="0"/>
          <w:szCs w:val="21"/>
          <w:lang w:val="en-US" w:eastAsia="zh-CN"/>
        </w:rPr>
        <w:t>测量管理</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eastAsia="宋体"/>
          <w:szCs w:val="22"/>
          <w:lang w:val="en-US" w:eastAsia="zh-CN"/>
        </w:rPr>
        <w:t>大庆泰泽机械加工有限公司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default" w:ascii="宋体" w:hAnsi="宋体" w:cs="宋体" w:eastAsiaTheme="minorEastAsia"/>
          <w:bCs/>
          <w:kern w:val="0"/>
          <w:szCs w:val="21"/>
          <w:lang w:val="en-US" w:eastAsia="zh-CN"/>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w:t>
      </w:r>
      <w:r>
        <w:rPr>
          <w:rFonts w:hint="eastAsia" w:ascii="宋体" w:hAnsi="宋体" w:cs="宋体"/>
          <w:bCs/>
          <w:kern w:val="0"/>
          <w:szCs w:val="21"/>
          <w:lang w:val="en-US" w:eastAsia="zh-CN"/>
        </w:rPr>
        <w:t>建议企业加强测量管理体系程序文件执行的检查力度。及时发现并采取有效措施，防止测量管理体系文件执行不到位的情况发生。2、</w:t>
      </w:r>
      <w:r>
        <w:rPr>
          <w:rFonts w:hint="eastAsia"/>
          <w:color w:val="auto"/>
          <w:szCs w:val="22"/>
        </w:rPr>
        <w:t>建议企业进一步加强体系文件的宣贯培训，提升全员计量意识。</w:t>
      </w:r>
    </w:p>
    <w:p>
      <w:pPr>
        <w:widowControl/>
        <w:spacing w:line="360" w:lineRule="auto"/>
        <w:jc w:val="left"/>
        <w:rPr>
          <w:rFonts w:ascii="宋体" w:hAnsi="宋体" w:eastAsia="宋体" w:cs="宋体"/>
          <w:kern w:val="0"/>
          <w:szCs w:val="21"/>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1312" behindDoc="0" locked="0" layoutInCell="1" allowOverlap="1">
            <wp:simplePos x="0" y="0"/>
            <wp:positionH relativeFrom="column">
              <wp:posOffset>1307465</wp:posOffset>
            </wp:positionH>
            <wp:positionV relativeFrom="paragraph">
              <wp:posOffset>212725</wp:posOffset>
            </wp:positionV>
            <wp:extent cx="775970" cy="387985"/>
            <wp:effectExtent l="0" t="0" r="508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75970" cy="38798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bookmarkStart w:id="11" w:name="_GoBack"/>
      <w:bookmarkEnd w:id="11"/>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2021.5.29</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SimSun-Identity-H">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34B9C"/>
    <w:multiLevelType w:val="singleLevel"/>
    <w:tmpl w:val="4DE34B9C"/>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7265EF"/>
    <w:rsid w:val="60902A4E"/>
    <w:rsid w:val="6D582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德福</cp:lastModifiedBy>
  <cp:lastPrinted>2017-09-01T06:24:00Z</cp:lastPrinted>
  <dcterms:modified xsi:type="dcterms:W3CDTF">2021-06-01T13:32:01Z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