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管理体系审核记录表（远程审核）</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42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71" w:type="dxa"/>
            <w:gridSpan w:val="2"/>
            <w:vAlign w:val="center"/>
          </w:tcPr>
          <w:p>
            <w:pPr>
              <w:rPr>
                <w:sz w:val="24"/>
                <w:szCs w:val="24"/>
              </w:rPr>
            </w:pPr>
            <w:r>
              <w:rPr>
                <w:rFonts w:hint="eastAsia"/>
                <w:sz w:val="24"/>
                <w:szCs w:val="24"/>
              </w:rPr>
              <w:t>受审核部门：领导层</w:t>
            </w:r>
            <w:r>
              <w:rPr>
                <w:sz w:val="24"/>
                <w:szCs w:val="24"/>
              </w:rPr>
              <w:t xml:space="preserve">    </w:t>
            </w:r>
            <w:r>
              <w:rPr>
                <w:rFonts w:hint="eastAsia"/>
                <w:sz w:val="24"/>
                <w:szCs w:val="24"/>
              </w:rPr>
              <w:t xml:space="preserve">    陪同人员：</w:t>
            </w:r>
            <w:r>
              <w:rPr>
                <w:rFonts w:hint="eastAsia"/>
                <w:lang w:val="en-US" w:eastAsia="zh-CN"/>
              </w:rPr>
              <w:t>钱国英</w:t>
            </w:r>
          </w:p>
        </w:tc>
        <w:tc>
          <w:tcPr>
            <w:tcW w:w="141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71" w:type="dxa"/>
            <w:gridSpan w:val="2"/>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张磊</w:t>
            </w:r>
            <w:r>
              <w:rPr>
                <w:rFonts w:hint="eastAsia"/>
                <w:sz w:val="24"/>
                <w:szCs w:val="24"/>
              </w:rPr>
              <w:t xml:space="preserve">  </w:t>
            </w:r>
            <w:r>
              <w:rPr>
                <w:rFonts w:hint="eastAsia"/>
                <w:sz w:val="24"/>
                <w:szCs w:val="24"/>
                <w:lang w:val="en-US" w:eastAsia="zh-CN"/>
              </w:rPr>
              <w:t xml:space="preserve">   </w:t>
            </w:r>
            <w:r>
              <w:rPr>
                <w:rFonts w:hint="eastAsia"/>
                <w:sz w:val="24"/>
                <w:szCs w:val="24"/>
              </w:rPr>
              <w:t>核日期：202</w:t>
            </w:r>
            <w:r>
              <w:rPr>
                <w:rFonts w:hint="eastAsia"/>
                <w:sz w:val="24"/>
                <w:szCs w:val="24"/>
                <w:lang w:val="en-US" w:eastAsia="zh-CN"/>
              </w:rPr>
              <w:t>1</w:t>
            </w:r>
            <w:r>
              <w:rPr>
                <w:rFonts w:hint="eastAsia"/>
                <w:sz w:val="24"/>
                <w:szCs w:val="24"/>
              </w:rPr>
              <w:t>-0</w:t>
            </w:r>
            <w:r>
              <w:rPr>
                <w:rFonts w:hint="eastAsia"/>
                <w:sz w:val="24"/>
                <w:szCs w:val="24"/>
                <w:lang w:val="en-US" w:eastAsia="zh-CN"/>
              </w:rPr>
              <w:t>6</w:t>
            </w:r>
            <w:r>
              <w:rPr>
                <w:rFonts w:hint="eastAsia"/>
                <w:sz w:val="24"/>
                <w:szCs w:val="24"/>
              </w:rPr>
              <w:t>-</w:t>
            </w:r>
            <w:r>
              <w:rPr>
                <w:rFonts w:hint="eastAsia"/>
                <w:sz w:val="24"/>
                <w:szCs w:val="24"/>
                <w:lang w:val="en-US" w:eastAsia="zh-CN"/>
              </w:rPr>
              <w:t>1</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71" w:type="dxa"/>
            <w:gridSpan w:val="2"/>
            <w:vAlign w:val="center"/>
          </w:tcPr>
          <w:p>
            <w:pPr>
              <w:tabs>
                <w:tab w:val="left" w:pos="709"/>
              </w:tabs>
              <w:ind w:right="57"/>
              <w:jc w:val="left"/>
              <w:rPr>
                <w:szCs w:val="21"/>
              </w:rPr>
            </w:pPr>
            <w:r>
              <w:rPr>
                <w:rFonts w:hint="eastAsia"/>
                <w:sz w:val="24"/>
                <w:szCs w:val="24"/>
              </w:rPr>
              <w:t>审核条款：</w:t>
            </w:r>
            <w:r>
              <w:rPr>
                <w:rFonts w:hint="eastAsia"/>
                <w:szCs w:val="21"/>
              </w:rPr>
              <w:t xml:space="preserve">QMS：4.1 4.2 4.3 4.4 </w:t>
            </w:r>
            <w:r>
              <w:rPr>
                <w:szCs w:val="21"/>
              </w:rPr>
              <w:t>5.1</w:t>
            </w:r>
            <w:r>
              <w:rPr>
                <w:rFonts w:hint="eastAsia"/>
                <w:szCs w:val="21"/>
              </w:rPr>
              <w:t>,</w:t>
            </w:r>
            <w:r>
              <w:rPr>
                <w:szCs w:val="21"/>
              </w:rPr>
              <w:t>5.2</w:t>
            </w:r>
            <w:r>
              <w:rPr>
                <w:rFonts w:hint="eastAsia"/>
                <w:szCs w:val="21"/>
              </w:rPr>
              <w:t>,</w:t>
            </w:r>
            <w:r>
              <w:rPr>
                <w:szCs w:val="21"/>
              </w:rPr>
              <w:t>5.3</w:t>
            </w:r>
            <w:r>
              <w:rPr>
                <w:rFonts w:hint="eastAsia"/>
                <w:szCs w:val="21"/>
              </w:rPr>
              <w:t>,6.1,6.2,</w:t>
            </w:r>
            <w:r>
              <w:rPr>
                <w:szCs w:val="21"/>
              </w:rPr>
              <w:t>6.3</w:t>
            </w:r>
            <w:r>
              <w:rPr>
                <w:rFonts w:hint="eastAsia"/>
                <w:szCs w:val="21"/>
              </w:rPr>
              <w:t>,</w:t>
            </w:r>
            <w:r>
              <w:rPr>
                <w:szCs w:val="21"/>
              </w:rPr>
              <w:t>7</w:t>
            </w:r>
            <w:r>
              <w:rPr>
                <w:rFonts w:hint="eastAsia"/>
                <w:szCs w:val="21"/>
              </w:rPr>
              <w:t>.1.1,7.1.2,7.3,9.1.1，9.3，10.1,10.3</w:t>
            </w:r>
          </w:p>
          <w:p>
            <w:pPr>
              <w:tabs>
                <w:tab w:val="left" w:pos="709"/>
              </w:tabs>
              <w:ind w:right="57"/>
              <w:jc w:val="left"/>
              <w:rPr>
                <w:sz w:val="24"/>
                <w:szCs w:val="24"/>
              </w:rPr>
            </w:pP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理解组织及其环境</w:t>
            </w:r>
          </w:p>
        </w:tc>
        <w:tc>
          <w:tcPr>
            <w:tcW w:w="960" w:type="dxa"/>
            <w:vMerge w:val="restart"/>
          </w:tcPr>
          <w:p>
            <w:r>
              <w:rPr>
                <w:rFonts w:hint="eastAsia"/>
              </w:rPr>
              <w:t xml:space="preserve">Q4.1 </w:t>
            </w:r>
          </w:p>
        </w:tc>
        <w:tc>
          <w:tcPr>
            <w:tcW w:w="745" w:type="dxa"/>
          </w:tcPr>
          <w:p>
            <w:r>
              <w:rPr>
                <w:rFonts w:hint="eastAsia"/>
              </w:rPr>
              <w:t>文件名称</w:t>
            </w:r>
          </w:p>
        </w:tc>
        <w:tc>
          <w:tcPr>
            <w:tcW w:w="9426" w:type="dxa"/>
          </w:tcPr>
          <w:p>
            <w:r>
              <w:rPr>
                <w:rFonts w:hint="eastAsia"/>
              </w:rPr>
              <w:t>如：</w:t>
            </w:r>
            <w:r>
              <w:rPr>
                <w:rFonts w:hint="eastAsia"/>
              </w:rPr>
              <w:sym w:font="Wingdings" w:char="00FE"/>
            </w:r>
            <w:r>
              <w:rPr>
                <w:rFonts w:hint="eastAsia"/>
              </w:rPr>
              <w:t>《公司环境分析控制程序》、</w:t>
            </w:r>
            <w:r>
              <w:rPr>
                <w:rFonts w:hint="eastAsia"/>
              </w:rPr>
              <w:sym w:font="Wingdings" w:char="00FE"/>
            </w:r>
            <w:r>
              <w:rPr>
                <w:rFonts w:hint="eastAsia"/>
              </w:rPr>
              <w:t>管理手册第4.1章</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rPr>
                <w:color w:val="000000"/>
                <w:szCs w:val="21"/>
              </w:rPr>
            </w:pPr>
            <w:r>
              <w:rPr>
                <w:rFonts w:hint="eastAsia"/>
                <w:color w:val="000000"/>
                <w:szCs w:val="21"/>
              </w:rPr>
              <w:t>与最高管理者沟通：</w:t>
            </w:r>
          </w:p>
          <w:p>
            <w:pPr>
              <w:rPr>
                <w:color w:val="000000"/>
                <w:szCs w:val="21"/>
              </w:rPr>
            </w:pPr>
            <w:r>
              <w:rPr>
                <w:rFonts w:hint="eastAsia"/>
                <w:color w:val="000000"/>
                <w:szCs w:val="21"/>
              </w:rPr>
              <w:t>组织的环境：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外部环境</w:t>
                  </w:r>
                </w:p>
              </w:tc>
              <w:tc>
                <w:tcPr>
                  <w:tcW w:w="7147" w:type="dxa"/>
                </w:tcPr>
                <w:p>
                  <w:r>
                    <w:rPr>
                      <w:rFonts w:hint="eastAsia"/>
                    </w:rPr>
                    <w:t>☑</w:t>
                  </w:r>
                  <w:r>
                    <w:rPr>
                      <w:rFonts w:hint="eastAsia" w:ascii="宋体" w:hAnsi="宋体" w:cs="宋体"/>
                      <w:color w:val="000000"/>
                      <w:kern w:val="0"/>
                      <w:sz w:val="20"/>
                    </w:rPr>
                    <w:t>政治因素</w:t>
                  </w:r>
                  <w:r>
                    <w:rPr>
                      <w:rFonts w:hint="eastAsia"/>
                    </w:rPr>
                    <w:t xml:space="preserve"> ☑</w:t>
                  </w:r>
                  <w:r>
                    <w:rPr>
                      <w:rFonts w:hint="eastAsia" w:ascii="宋体" w:hAnsi="宋体" w:cs="宋体"/>
                      <w:color w:val="000000"/>
                      <w:kern w:val="0"/>
                      <w:sz w:val="20"/>
                    </w:rPr>
                    <w:t>经济因素</w:t>
                  </w:r>
                  <w:r>
                    <w:rPr>
                      <w:rFonts w:hint="eastAsia"/>
                    </w:rPr>
                    <w:t xml:space="preserve"> ☑</w:t>
                  </w:r>
                  <w:r>
                    <w:rPr>
                      <w:rFonts w:hint="eastAsia" w:ascii="宋体" w:hAnsi="宋体" w:cs="宋体"/>
                      <w:color w:val="000000"/>
                      <w:kern w:val="0"/>
                      <w:sz w:val="20"/>
                    </w:rPr>
                    <w:t>社会因素</w:t>
                  </w:r>
                  <w:r>
                    <w:rPr>
                      <w:rFonts w:hint="eastAsia"/>
                    </w:rPr>
                    <w:t xml:space="preserve"> ☑</w:t>
                  </w:r>
                  <w:r>
                    <w:rPr>
                      <w:rFonts w:hint="eastAsia" w:ascii="宋体" w:hAnsi="宋体" w:cs="宋体"/>
                      <w:color w:val="000000"/>
                      <w:kern w:val="0"/>
                      <w:sz w:val="20"/>
                    </w:rPr>
                    <w:t>技术因素</w:t>
                  </w:r>
                  <w:r>
                    <w:rPr>
                      <w:rFonts w:hint="eastAsia"/>
                    </w:rPr>
                    <w:t xml:space="preserve"> ☑</w:t>
                  </w:r>
                  <w:r>
                    <w:rPr>
                      <w:rFonts w:hint="eastAsia" w:ascii="宋体" w:hAnsi="宋体" w:cs="宋体"/>
                      <w:color w:val="000000"/>
                      <w:kern w:val="0"/>
                      <w:sz w:val="20"/>
                    </w:rPr>
                    <w:t>法律法规因素</w:t>
                  </w:r>
                  <w:r>
                    <w:rPr>
                      <w:rFonts w:hint="eastAsia"/>
                    </w:rPr>
                    <w:t xml:space="preserve"> </w:t>
                  </w:r>
                  <w:r>
                    <w:rPr>
                      <w:rFonts w:hint="eastAsia"/>
                      <w:lang w:eastAsia="zh-CN"/>
                    </w:rPr>
                    <w:sym w:font="Wingdings 2" w:char="0052"/>
                  </w:r>
                  <w:r>
                    <w:rPr>
                      <w:rFonts w:hint="eastAsia" w:ascii="宋体" w:hAnsi="宋体" w:cs="宋体"/>
                      <w:color w:val="000000"/>
                      <w:kern w:val="0"/>
                      <w:sz w:val="20"/>
                      <w:lang w:val="en-US" w:eastAsia="zh-CN"/>
                    </w:rPr>
                    <w:t>竞争</w:t>
                  </w:r>
                  <w:r>
                    <w:rPr>
                      <w:rFonts w:hint="eastAsia" w:ascii="宋体" w:hAnsi="宋体" w:cs="宋体"/>
                      <w:color w:val="000000"/>
                      <w:kern w:val="0"/>
                      <w:sz w:val="20"/>
                    </w:rPr>
                    <w:t>因素</w:t>
                  </w:r>
                  <w:r>
                    <w:rPr>
                      <w:rFonts w:hint="eastAsia"/>
                    </w:rPr>
                    <w:t xml:space="preserve"> ☑</w:t>
                  </w:r>
                  <w:r>
                    <w:rPr>
                      <w:rFonts w:hint="eastAsia" w:ascii="宋体" w:hAnsi="宋体" w:cs="宋体"/>
                      <w:color w:val="000000"/>
                      <w:kern w:val="0"/>
                      <w:sz w:val="20"/>
                      <w:lang w:val="en-US" w:eastAsia="zh-CN"/>
                    </w:rPr>
                    <w:t>自然环境</w:t>
                  </w:r>
                  <w:r>
                    <w:rPr>
                      <w:rFonts w:hint="eastAsia" w:ascii="宋体" w:hAnsi="宋体" w:cs="宋体"/>
                      <w:color w:val="000000"/>
                      <w:kern w:val="0"/>
                      <w:sz w:val="20"/>
                    </w:rPr>
                    <w:t>因素</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列举主要的内容</w:t>
                  </w:r>
                </w:p>
              </w:tc>
              <w:tc>
                <w:tcPr>
                  <w:tcW w:w="7147" w:type="dxa"/>
                </w:tcPr>
                <w:p>
                  <w:r>
                    <w:rPr>
                      <w:rFonts w:hint="eastAsia" w:ascii="宋体" w:hAnsi="宋体" w:eastAsia="宋体" w:cs="Times New Roman"/>
                      <w:color w:val="auto"/>
                      <w:kern w:val="0"/>
                      <w:sz w:val="21"/>
                      <w:szCs w:val="21"/>
                    </w:rPr>
                    <w:t>政局稳定， 经济大环境好。 目前国内政局稳定,国家大力发展国民经济， 着力提高人民生活水平,为企业提供了良好的发展环境。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内部环境</w:t>
                  </w:r>
                </w:p>
              </w:tc>
              <w:tc>
                <w:tcPr>
                  <w:tcW w:w="7147" w:type="dxa"/>
                </w:tcPr>
                <w:p>
                  <w:r>
                    <w:rPr>
                      <w:rFonts w:hint="eastAsia"/>
                    </w:rPr>
                    <w:t>☑</w:t>
                  </w:r>
                  <w:r>
                    <w:rPr>
                      <w:rFonts w:hint="eastAsia" w:ascii="宋体" w:hAnsi="宋体" w:cs="宋体"/>
                      <w:color w:val="000000"/>
                      <w:kern w:val="0"/>
                      <w:sz w:val="20"/>
                    </w:rPr>
                    <w:t>企业文化</w:t>
                  </w:r>
                  <w:r>
                    <w:rPr>
                      <w:rFonts w:hint="eastAsia"/>
                    </w:rPr>
                    <w:t xml:space="preserve"> ☑</w:t>
                  </w:r>
                  <w:r>
                    <w:rPr>
                      <w:rFonts w:hint="eastAsia" w:ascii="宋体" w:hAnsi="宋体" w:cs="宋体"/>
                      <w:color w:val="000000"/>
                      <w:kern w:val="0"/>
                      <w:sz w:val="20"/>
                      <w:lang w:val="en-US" w:eastAsia="zh-CN"/>
                    </w:rPr>
                    <w:t>公司价值观</w:t>
                  </w:r>
                  <w:r>
                    <w:rPr>
                      <w:rFonts w:hint="eastAsia"/>
                    </w:rPr>
                    <w:t>☑</w:t>
                  </w:r>
                  <w:r>
                    <w:rPr>
                      <w:rFonts w:hint="eastAsia" w:ascii="宋体" w:hAnsi="宋体" w:cs="宋体"/>
                      <w:color w:val="000000"/>
                      <w:kern w:val="0"/>
                      <w:sz w:val="20"/>
                      <w:lang w:val="en-US" w:eastAsia="zh-CN"/>
                    </w:rPr>
                    <w:t>知识积累</w:t>
                  </w:r>
                  <w:r>
                    <w:rPr>
                      <w:rFonts w:hint="eastAsia"/>
                    </w:rPr>
                    <w:t>☑</w:t>
                  </w:r>
                  <w:r>
                    <w:rPr>
                      <w:rFonts w:hint="eastAsia" w:ascii="宋体" w:hAnsi="宋体" w:cs="宋体"/>
                      <w:color w:val="000000"/>
                      <w:kern w:val="0"/>
                      <w:sz w:val="20"/>
                      <w:lang w:val="en-US" w:eastAsia="zh-CN"/>
                    </w:rPr>
                    <w:t>绩效</w:t>
                  </w:r>
                  <w:r>
                    <w:rPr>
                      <w:rFonts w:hint="eastAsia"/>
                    </w:rPr>
                    <w:t>☑</w:t>
                  </w:r>
                  <w:r>
                    <w:rPr>
                      <w:rFonts w:hint="eastAsia"/>
                      <w:lang w:val="en-US" w:eastAsia="zh-CN"/>
                    </w:rPr>
                    <w:t>财务因素</w:t>
                  </w:r>
                  <w:r>
                    <w:rPr>
                      <w:rFonts w:hint="eastAsia"/>
                    </w:rPr>
                    <w:t xml:space="preserve"> ☑</w:t>
                  </w:r>
                  <w:r>
                    <w:rPr>
                      <w:rFonts w:ascii="宋体" w:hAnsi="宋体" w:cs="宋体"/>
                      <w:color w:val="000000"/>
                      <w:kern w:val="0"/>
                      <w:sz w:val="20"/>
                    </w:rPr>
                    <w:t>设备资源</w:t>
                  </w:r>
                  <w:r>
                    <w:rPr>
                      <w:rFonts w:hint="eastAsia"/>
                    </w:rPr>
                    <w:t xml:space="preserve"> ☑</w:t>
                  </w:r>
                  <w:r>
                    <w:rPr>
                      <w:rFonts w:hint="eastAsia" w:ascii="宋体" w:hAnsi="宋体" w:cs="宋体"/>
                      <w:color w:val="000000"/>
                      <w:kern w:val="0"/>
                      <w:sz w:val="20"/>
                    </w:rPr>
                    <w:t>人力环境</w:t>
                  </w:r>
                  <w:r>
                    <w:rPr>
                      <w:rFonts w:hint="eastAsia"/>
                    </w:rPr>
                    <w:t xml:space="preserve"> ☑</w:t>
                  </w:r>
                  <w:r>
                    <w:rPr>
                      <w:rFonts w:hint="eastAsia" w:ascii="宋体" w:hAnsi="宋体" w:cs="宋体"/>
                      <w:color w:val="000000"/>
                      <w:kern w:val="0"/>
                      <w:sz w:val="20"/>
                    </w:rPr>
                    <w:t>执行力</w:t>
                  </w:r>
                  <w:r>
                    <w:rPr>
                      <w:rFonts w:hint="eastAsia"/>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rPr>
                    <w:t>列举主要的内容</w:t>
                  </w:r>
                </w:p>
              </w:tc>
              <w:tc>
                <w:tcPr>
                  <w:tcW w:w="7147" w:type="dxa"/>
                </w:tcPr>
                <w:p>
                  <w:r>
                    <w:rPr>
                      <w:rFonts w:ascii="宋体" w:hAnsi="宋体" w:eastAsia="宋体" w:cs="Times New Roman"/>
                      <w:color w:val="auto"/>
                      <w:kern w:val="0"/>
                      <w:sz w:val="21"/>
                      <w:szCs w:val="21"/>
                    </w:rPr>
                    <w:t>做好员工敬业爱业教育</w:t>
                  </w:r>
                  <w:r>
                    <w:rPr>
                      <w:rFonts w:hint="eastAsia" w:ascii="宋体" w:hAnsi="宋体" w:eastAsia="宋体" w:cs="Times New Roman"/>
                      <w:color w:val="auto"/>
                      <w:kern w:val="0"/>
                      <w:sz w:val="21"/>
                      <w:szCs w:val="21"/>
                    </w:rPr>
                    <w:t>，</w:t>
                  </w:r>
                  <w:r>
                    <w:rPr>
                      <w:rFonts w:ascii="宋体" w:hAnsi="宋体" w:eastAsia="宋体" w:cs="Times New Roman"/>
                      <w:color w:val="auto"/>
                      <w:kern w:val="0"/>
                      <w:sz w:val="21"/>
                      <w:szCs w:val="21"/>
                    </w:rPr>
                    <w:t>不断提升优质产品水平</w:t>
                  </w:r>
                  <w:r>
                    <w:rPr>
                      <w:rFonts w:hint="eastAsia" w:ascii="宋体" w:hAnsi="宋体" w:eastAsia="宋体" w:cs="Times New Roman"/>
                      <w:color w:val="auto"/>
                      <w:kern w:val="0"/>
                      <w:sz w:val="21"/>
                      <w:szCs w:val="21"/>
                    </w:rPr>
                    <w:t>，</w:t>
                  </w:r>
                  <w:r>
                    <w:rPr>
                      <w:rFonts w:ascii="宋体" w:hAnsi="宋体" w:eastAsia="宋体" w:cs="Times New Roman"/>
                      <w:color w:val="auto"/>
                      <w:kern w:val="0"/>
                      <w:sz w:val="21"/>
                      <w:szCs w:val="21"/>
                    </w:rPr>
                    <w:t>持之以恒</w:t>
                  </w:r>
                  <w:r>
                    <w:rPr>
                      <w:rFonts w:hint="eastAsia" w:ascii="宋体" w:hAnsi="宋体" w:eastAsia="宋体" w:cs="Times New Roman"/>
                      <w:color w:val="auto"/>
                      <w:kern w:val="0"/>
                      <w:sz w:val="21"/>
                      <w:szCs w:val="21"/>
                    </w:rPr>
                    <w:t>，</w:t>
                  </w:r>
                  <w:r>
                    <w:rPr>
                      <w:rFonts w:ascii="宋体" w:hAnsi="宋体" w:eastAsia="宋体" w:cs="Times New Roman"/>
                      <w:color w:val="auto"/>
                      <w:kern w:val="0"/>
                      <w:sz w:val="21"/>
                      <w:szCs w:val="21"/>
                    </w:rPr>
                    <w:t>用心产品</w:t>
                  </w:r>
                  <w:r>
                    <w:rPr>
                      <w:rFonts w:hint="eastAsia" w:ascii="宋体" w:hAnsi="宋体" w:eastAsia="宋体" w:cs="Times New Roman"/>
                      <w:color w:val="auto"/>
                      <w:kern w:val="0"/>
                      <w:sz w:val="21"/>
                      <w:szCs w:val="21"/>
                    </w:rPr>
                    <w:t>，</w:t>
                  </w:r>
                  <w:r>
                    <w:rPr>
                      <w:rFonts w:ascii="宋体" w:hAnsi="宋体" w:eastAsia="宋体" w:cs="Times New Roman"/>
                      <w:color w:val="auto"/>
                      <w:kern w:val="0"/>
                      <w:sz w:val="21"/>
                      <w:szCs w:val="21"/>
                    </w:rPr>
                    <w:t>真诚产品</w:t>
                  </w:r>
                  <w:r>
                    <w:rPr>
                      <w:rFonts w:hint="eastAsia" w:ascii="宋体" w:hAnsi="宋体" w:eastAsia="宋体" w:cs="Times New Roman"/>
                      <w:color w:val="auto"/>
                      <w:kern w:val="0"/>
                      <w:sz w:val="21"/>
                      <w:szCs w:val="21"/>
                    </w:rPr>
                    <w:t>，不断提炼企业产品优势，增强核心竞争力，最大限度地赢得客户认可。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color w:val="000000"/>
                      <w:szCs w:val="21"/>
                    </w:rPr>
                    <w:t>组织优势说明</w:t>
                  </w:r>
                </w:p>
              </w:tc>
              <w:tc>
                <w:tcPr>
                  <w:tcW w:w="7147" w:type="dxa"/>
                </w:tcPr>
                <w:p>
                  <w:pPr>
                    <w:rPr>
                      <w:rFonts w:ascii="宋体" w:hAnsi="宋体" w:cs="宋体"/>
                      <w:color w:val="000000"/>
                      <w:kern w:val="0"/>
                      <w:sz w:val="20"/>
                    </w:rPr>
                  </w:pPr>
                  <w:r>
                    <w:rPr>
                      <w:rFonts w:hint="eastAsia" w:ascii="宋体" w:hAnsi="宋体" w:cs="宋体"/>
                      <w:color w:val="000000"/>
                      <w:kern w:val="0"/>
                      <w:sz w:val="20"/>
                    </w:rPr>
                    <w:t>充足的财政来源；良好的企业形象；技术力量；规模经济；产品质量；市场份额；成本优势；</w:t>
                  </w:r>
                  <w:r>
                    <w:rPr>
                      <w:rFonts w:ascii="宋体" w:hAnsi="宋体" w:cs="宋体"/>
                      <w:color w:val="000000"/>
                      <w:kern w:val="0"/>
                      <w:sz w:val="20"/>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color w:val="000000"/>
                      <w:szCs w:val="21"/>
                    </w:rPr>
                    <w:t>组织劣势说明</w:t>
                  </w:r>
                </w:p>
              </w:tc>
              <w:tc>
                <w:tcPr>
                  <w:tcW w:w="7147" w:type="dxa"/>
                </w:tcPr>
                <w:p>
                  <w:pPr>
                    <w:rPr>
                      <w:rFonts w:hint="eastAsia" w:ascii="宋体" w:hAnsi="宋体" w:cs="宋体"/>
                      <w:color w:val="000000"/>
                      <w:kern w:val="0"/>
                      <w:sz w:val="20"/>
                    </w:rPr>
                  </w:pPr>
                  <w:r>
                    <w:rPr>
                      <w:rFonts w:hint="eastAsia" w:ascii="宋体" w:hAnsi="宋体" w:cs="宋体"/>
                      <w:szCs w:val="21"/>
                      <w:lang w:eastAsia="zh-CN"/>
                    </w:rPr>
                    <w:t>配送部</w:t>
                  </w:r>
                  <w:r>
                    <w:rPr>
                      <w:rFonts w:hint="eastAsia" w:ascii="宋体" w:hAnsi="宋体" w:cs="宋体"/>
                      <w:szCs w:val="21"/>
                    </w:rPr>
                    <w:t>业是一个技术含量相对较低的行业，但是它需要严格的管理才能赢得消费者的信赖，对于大多数</w:t>
                  </w:r>
                  <w:r>
                    <w:rPr>
                      <w:rFonts w:hint="eastAsia" w:ascii="宋体" w:hAnsi="宋体" w:cs="宋体"/>
                      <w:szCs w:val="21"/>
                      <w:lang w:eastAsia="zh-CN"/>
                    </w:rPr>
                    <w:t>食堂</w:t>
                  </w:r>
                  <w:r>
                    <w:rPr>
                      <w:rFonts w:hint="eastAsia" w:ascii="宋体" w:hAnsi="宋体" w:cs="宋体"/>
                      <w:szCs w:val="21"/>
                    </w:rPr>
                    <w:t>来说大部分存在着内部管理松散，服务人员素质较低。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color w:val="000000"/>
                      <w:szCs w:val="21"/>
                    </w:rPr>
                    <w:t>主要风险的说明</w:t>
                  </w:r>
                </w:p>
              </w:tc>
              <w:tc>
                <w:tcPr>
                  <w:tcW w:w="7147" w:type="dxa"/>
                </w:tcPr>
                <w:p>
                  <w:pPr>
                    <w:snapToGrid w:val="0"/>
                    <w:spacing w:line="360" w:lineRule="exact"/>
                    <w:rPr>
                      <w:rFonts w:hint="eastAsia" w:ascii="宋体" w:hAnsi="宋体" w:cs="宋体"/>
                      <w:szCs w:val="21"/>
                    </w:rPr>
                  </w:pPr>
                  <w:r>
                    <w:rPr>
                      <w:rFonts w:hint="eastAsia" w:ascii="宋体" w:hAnsi="宋体" w:cs="宋体"/>
                      <w:szCs w:val="21"/>
                    </w:rPr>
                    <w:t>：1、消费者对</w:t>
                  </w:r>
                  <w:r>
                    <w:rPr>
                      <w:rFonts w:hint="eastAsia" w:ascii="宋体" w:hAnsi="宋体" w:cs="宋体"/>
                      <w:szCs w:val="21"/>
                      <w:lang w:eastAsia="zh-CN"/>
                    </w:rPr>
                    <w:t>配送</w:t>
                  </w:r>
                  <w:r>
                    <w:rPr>
                      <w:rFonts w:hint="eastAsia" w:ascii="宋体" w:hAnsi="宋体" w:cs="宋体"/>
                      <w:szCs w:val="21"/>
                      <w:lang w:val="en-US" w:eastAsia="zh-CN"/>
                    </w:rPr>
                    <w:t>菜品</w:t>
                  </w:r>
                  <w:r>
                    <w:rPr>
                      <w:rFonts w:hint="eastAsia" w:ascii="宋体" w:hAnsi="宋体" w:cs="宋体"/>
                      <w:szCs w:val="21"/>
                    </w:rPr>
                    <w:t>的</w:t>
                  </w:r>
                  <w:r>
                    <w:rPr>
                      <w:rFonts w:hint="eastAsia" w:ascii="宋体" w:hAnsi="宋体" w:cs="宋体"/>
                      <w:szCs w:val="21"/>
                      <w:lang w:val="en-US" w:eastAsia="zh-CN"/>
                    </w:rPr>
                    <w:t>及时性</w:t>
                  </w:r>
                  <w:r>
                    <w:rPr>
                      <w:rFonts w:hint="eastAsia" w:ascii="宋体" w:hAnsi="宋体" w:cs="宋体"/>
                      <w:szCs w:val="21"/>
                    </w:rPr>
                    <w:t>、</w:t>
                  </w:r>
                  <w:r>
                    <w:rPr>
                      <w:rFonts w:hint="eastAsia" w:ascii="宋体" w:hAnsi="宋体" w:cs="宋体"/>
                      <w:szCs w:val="21"/>
                      <w:lang w:val="en-US" w:eastAsia="zh-CN"/>
                    </w:rPr>
                    <w:t>安全性</w:t>
                  </w:r>
                  <w:r>
                    <w:rPr>
                      <w:rFonts w:hint="eastAsia" w:ascii="宋体" w:hAnsi="宋体" w:cs="宋体"/>
                      <w:szCs w:val="21"/>
                    </w:rPr>
                    <w:t>、</w:t>
                  </w:r>
                  <w:r>
                    <w:rPr>
                      <w:rFonts w:hint="eastAsia" w:ascii="宋体" w:hAnsi="宋体" w:cs="宋体"/>
                      <w:szCs w:val="21"/>
                      <w:lang w:val="en-US" w:eastAsia="zh-CN"/>
                    </w:rPr>
                    <w:t>环保性</w:t>
                  </w:r>
                  <w:r>
                    <w:rPr>
                      <w:rFonts w:hint="eastAsia" w:ascii="宋体" w:hAnsi="宋体" w:cs="宋体"/>
                      <w:szCs w:val="21"/>
                    </w:rPr>
                    <w:t>、花样机用餐环境等的要求不断提高；</w:t>
                  </w:r>
                </w:p>
                <w:p>
                  <w:pPr>
                    <w:snapToGrid w:val="0"/>
                    <w:spacing w:line="360" w:lineRule="exact"/>
                    <w:rPr>
                      <w:rFonts w:hint="eastAsia" w:ascii="宋体" w:hAnsi="宋体" w:cs="宋体"/>
                      <w:szCs w:val="21"/>
                    </w:rPr>
                  </w:pPr>
                  <w:r>
                    <w:rPr>
                      <w:rFonts w:hint="eastAsia" w:ascii="宋体" w:hAnsi="宋体" w:cs="宋体"/>
                      <w:szCs w:val="21"/>
                    </w:rPr>
                    <w:t>2、国家对食品安全的监管力度大，有食品安全风险。</w:t>
                  </w:r>
                </w:p>
                <w:p>
                  <w:pPr>
                    <w:snapToGrid w:val="0"/>
                    <w:spacing w:line="360" w:lineRule="exact"/>
                    <w:rPr>
                      <w:rFonts w:hint="eastAsia" w:ascii="宋体" w:hAnsi="宋体" w:cs="宋体"/>
                      <w:szCs w:val="21"/>
                    </w:rPr>
                  </w:pPr>
                  <w:r>
                    <w:rPr>
                      <w:rFonts w:hint="eastAsia" w:ascii="宋体" w:hAnsi="宋体" w:cs="宋体"/>
                      <w:szCs w:val="21"/>
                    </w:rPr>
                    <w:t>3、企业管理者不了解行业法律、国家政策，造成企业经营合规性风险；</w:t>
                  </w:r>
                </w:p>
                <w:p>
                  <w:pPr>
                    <w:rPr>
                      <w:rFonts w:ascii="宋体" w:hAnsi="宋体" w:cs="宋体"/>
                      <w:color w:val="000000"/>
                      <w:kern w:val="0"/>
                      <w:sz w:val="20"/>
                    </w:rPr>
                  </w:pPr>
                  <w:r>
                    <w:rPr>
                      <w:rFonts w:hint="eastAsia" w:ascii="宋体" w:hAnsi="宋体" w:cs="宋体"/>
                      <w:szCs w:val="21"/>
                    </w:rPr>
                    <w:t>4、领导对管理体系不重视，没有履行足够的承诺。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r>
                    <w:rPr>
                      <w:rFonts w:hint="eastAsia"/>
                      <w:color w:val="000000"/>
                      <w:szCs w:val="21"/>
                    </w:rPr>
                    <w:t>机遇的说明</w:t>
                  </w:r>
                </w:p>
              </w:tc>
              <w:tc>
                <w:tcPr>
                  <w:tcW w:w="7147" w:type="dxa"/>
                </w:tcPr>
                <w:p>
                  <w:pPr>
                    <w:rPr>
                      <w:rFonts w:ascii="宋体" w:hAnsi="宋体" w:cs="宋体"/>
                      <w:color w:val="000000"/>
                      <w:kern w:val="0"/>
                      <w:sz w:val="20"/>
                    </w:rPr>
                  </w:pPr>
                  <w:r>
                    <w:rPr>
                      <w:rFonts w:hint="eastAsia" w:ascii="宋体" w:hAnsi="宋体" w:cs="宋体"/>
                      <w:szCs w:val="21"/>
                      <w:lang w:val="en-US" w:eastAsia="zh-CN"/>
                    </w:rPr>
                    <w:t>配送</w:t>
                  </w:r>
                  <w:r>
                    <w:rPr>
                      <w:rFonts w:hint="eastAsia" w:ascii="宋体" w:hAnsi="宋体" w:cs="宋体"/>
                      <w:szCs w:val="21"/>
                    </w:rPr>
                    <w:t>运营已经步入稳定良好的状态，专业为</w:t>
                  </w:r>
                  <w:r>
                    <w:rPr>
                      <w:rFonts w:hint="eastAsia" w:ascii="宋体" w:hAnsi="宋体" w:cs="宋体"/>
                      <w:szCs w:val="21"/>
                      <w:lang w:val="en-US" w:eastAsia="zh-CN"/>
                    </w:rPr>
                    <w:t>事业单位</w:t>
                  </w:r>
                  <w:r>
                    <w:rPr>
                      <w:rFonts w:hint="eastAsia" w:ascii="宋体" w:hAnsi="宋体" w:cs="宋体"/>
                      <w:szCs w:val="21"/>
                    </w:rPr>
                    <w:t>的教职工提供</w:t>
                  </w:r>
                  <w:r>
                    <w:rPr>
                      <w:rFonts w:hint="eastAsia" w:ascii="宋体" w:hAnsi="宋体" w:cs="宋体"/>
                      <w:szCs w:val="21"/>
                      <w:lang w:val="en-US" w:eastAsia="zh-CN"/>
                    </w:rPr>
                    <w:t>配送服务</w:t>
                  </w:r>
                  <w:r>
                    <w:rPr>
                      <w:rFonts w:hint="eastAsia" w:ascii="宋体" w:hAnsi="宋体" w:cs="宋体"/>
                      <w:szCs w:val="21"/>
                    </w:rPr>
                    <w:t>，依托</w:t>
                  </w:r>
                  <w:r>
                    <w:rPr>
                      <w:rFonts w:hint="eastAsia" w:ascii="宋体" w:hAnsi="宋体" w:cs="宋体"/>
                      <w:szCs w:val="21"/>
                      <w:lang w:val="en-US" w:eastAsia="zh-CN"/>
                    </w:rPr>
                    <w:t>周边学校的需求资源</w:t>
                  </w:r>
                  <w:r>
                    <w:rPr>
                      <w:rFonts w:hint="eastAsia" w:ascii="宋体" w:hAnsi="宋体" w:cs="宋体"/>
                      <w:szCs w:val="21"/>
                    </w:rPr>
                    <w:t>。</w:t>
                  </w:r>
                </w:p>
              </w:tc>
            </w:tr>
          </w:tbl>
          <w:p>
            <w:pPr>
              <w:rPr>
                <w:color w:val="000000"/>
                <w:szCs w:val="21"/>
              </w:rPr>
            </w:pPr>
          </w:p>
          <w:p>
            <w:r>
              <w:rPr>
                <w:rFonts w:hint="eastAsia"/>
                <w:color w:val="000000"/>
                <w:szCs w:val="21"/>
              </w:rPr>
              <w:t>主要证据体现在</w:t>
            </w:r>
            <w:r>
              <w:rPr>
                <w:rFonts w:hint="eastAsia"/>
              </w:rPr>
              <w:t xml:space="preserve"> </w:t>
            </w:r>
            <w:r>
              <w:rPr>
                <w:rFonts w:hint="eastAsia"/>
              </w:rPr>
              <w:sym w:font="Wingdings" w:char="00FE"/>
            </w:r>
            <w:r>
              <w:rPr>
                <w:rFonts w:hint="eastAsia"/>
              </w:rPr>
              <w:t>《风险和机遇评估分析表》</w:t>
            </w:r>
            <w:r>
              <w:rPr>
                <w:rFonts w:hint="eastAsia"/>
              </w:rPr>
              <w:sym w:font="Wingdings" w:char="00FE"/>
            </w:r>
            <w:r>
              <w:rPr>
                <w:rFonts w:hint="eastAsia"/>
              </w:rPr>
              <w:t>《风险和机遇识别评价清单》</w:t>
            </w:r>
          </w:p>
          <w:p>
            <w:pPr>
              <w:rPr>
                <w:color w:val="000000"/>
                <w:szCs w:val="21"/>
              </w:rPr>
            </w:pPr>
            <w:r>
              <w:rPr>
                <w:rFonts w:hint="eastAsia"/>
              </w:rPr>
              <w:t xml:space="preserve">          </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理解相关方的需求和期望</w:t>
            </w:r>
          </w:p>
        </w:tc>
        <w:tc>
          <w:tcPr>
            <w:tcW w:w="960" w:type="dxa"/>
            <w:vMerge w:val="restart"/>
          </w:tcPr>
          <w:p>
            <w:r>
              <w:rPr>
                <w:rFonts w:hint="eastAsia"/>
              </w:rPr>
              <w:t xml:space="preserve">Q4.2 </w:t>
            </w:r>
          </w:p>
        </w:tc>
        <w:tc>
          <w:tcPr>
            <w:tcW w:w="745" w:type="dxa"/>
          </w:tcPr>
          <w:p>
            <w:r>
              <w:rPr>
                <w:rFonts w:hint="eastAsia"/>
              </w:rPr>
              <w:t>文件名称</w:t>
            </w:r>
          </w:p>
        </w:tc>
        <w:tc>
          <w:tcPr>
            <w:tcW w:w="9426" w:type="dxa"/>
          </w:tcPr>
          <w:p>
            <w:r>
              <w:rPr>
                <w:rFonts w:hint="eastAsia"/>
              </w:rPr>
              <w:t>如：</w:t>
            </w:r>
            <w:r>
              <w:rPr>
                <w:rFonts w:hint="eastAsia"/>
              </w:rPr>
              <w:sym w:font="Wingdings" w:char="00FE"/>
            </w:r>
            <w:r>
              <w:rPr>
                <w:rFonts w:hint="eastAsia"/>
              </w:rPr>
              <w:t>《相关方需求和期望清单》</w:t>
            </w:r>
          </w:p>
          <w:p>
            <w:r>
              <w:rPr>
                <w:rFonts w:hint="eastAsia"/>
              </w:rPr>
              <w:t xml:space="preserve">   管理手册第4.2章  </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widowControl/>
              <w:jc w:val="center"/>
              <w:rPr>
                <w:rFonts w:ascii="宋体" w:hAnsi="宋体"/>
              </w:rPr>
            </w:pPr>
            <w:r>
              <w:rPr>
                <w:rFonts w:hint="eastAsia" w:ascii="宋体" w:hAnsi="宋体"/>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495"/>
              <w:gridCol w:w="361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highlight w:val="cyan"/>
                    </w:rPr>
                  </w:pPr>
                  <w:r>
                    <w:rPr>
                      <w:rFonts w:hint="eastAsia"/>
                      <w:color w:val="000000" w:themeColor="text1"/>
                    </w:rPr>
                    <w:t>重要的相关方</w:t>
                  </w:r>
                </w:p>
              </w:tc>
              <w:tc>
                <w:tcPr>
                  <w:tcW w:w="2495" w:type="dxa"/>
                </w:tcPr>
                <w:p>
                  <w:pPr>
                    <w:rPr>
                      <w:color w:val="000000" w:themeColor="text1"/>
                      <w:highlight w:val="cyan"/>
                    </w:rPr>
                  </w:pPr>
                  <w:r>
                    <w:rPr>
                      <w:rFonts w:hint="eastAsia"/>
                      <w:color w:val="000000" w:themeColor="text1"/>
                    </w:rPr>
                    <w:t>相关方名称举例</w:t>
                  </w:r>
                </w:p>
              </w:tc>
              <w:tc>
                <w:tcPr>
                  <w:tcW w:w="3611" w:type="dxa"/>
                </w:tcPr>
                <w:p>
                  <w:pPr>
                    <w:rPr>
                      <w:color w:val="000000" w:themeColor="text1"/>
                      <w:highlight w:val="cyan"/>
                    </w:rPr>
                  </w:pPr>
                  <w:r>
                    <w:rPr>
                      <w:rFonts w:hint="eastAsia"/>
                      <w:color w:val="000000" w:themeColor="text1"/>
                    </w:rPr>
                    <w:t>重要的相关方需求和希望（不必全选）</w:t>
                  </w:r>
                </w:p>
              </w:tc>
              <w:tc>
                <w:tcPr>
                  <w:tcW w:w="1324" w:type="dxa"/>
                </w:tcPr>
                <w:p>
                  <w:pPr>
                    <w:rPr>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rPr>
                  </w:pPr>
                  <w:r>
                    <w:rPr>
                      <w:rFonts w:hint="eastAsia"/>
                      <w:color w:val="000000" w:themeColor="text1"/>
                    </w:rPr>
                    <w:t>☑主管部门</w:t>
                  </w:r>
                </w:p>
              </w:tc>
              <w:tc>
                <w:tcPr>
                  <w:tcW w:w="2495" w:type="dxa"/>
                </w:tcPr>
                <w:p>
                  <w:pPr>
                    <w:rPr>
                      <w:rFonts w:hint="default" w:eastAsia="宋体"/>
                      <w:color w:val="000000" w:themeColor="text1"/>
                      <w:lang w:val="en-US" w:eastAsia="zh-CN"/>
                    </w:rPr>
                  </w:pPr>
                  <w:r>
                    <w:rPr>
                      <w:rFonts w:hint="eastAsia"/>
                      <w:color w:val="000000" w:themeColor="text1"/>
                    </w:rPr>
                    <w:t>吴中区</w:t>
                  </w:r>
                  <w:r>
                    <w:rPr>
                      <w:rFonts w:hint="eastAsia"/>
                      <w:color w:val="000000" w:themeColor="text1"/>
                      <w:szCs w:val="22"/>
                      <w:lang w:val="en-US" w:eastAsia="zh-CN"/>
                    </w:rPr>
                    <w:t>市场监督管理局</w:t>
                  </w:r>
                </w:p>
              </w:tc>
              <w:tc>
                <w:tcPr>
                  <w:tcW w:w="3611" w:type="dxa"/>
                </w:tcPr>
                <w:p>
                  <w:pPr>
                    <w:rPr>
                      <w:color w:val="000000" w:themeColor="text1"/>
                    </w:rPr>
                  </w:pPr>
                  <w:r>
                    <w:rPr>
                      <w:rFonts w:hint="eastAsia"/>
                      <w:color w:val="000000" w:themeColor="text1"/>
                    </w:rPr>
                    <w:t>☑遵守相关的法律法规</w:t>
                  </w:r>
                </w:p>
                <w:p>
                  <w:pPr>
                    <w:rPr>
                      <w:rFonts w:hint="eastAsia" w:eastAsia="宋体"/>
                      <w:color w:val="000000" w:themeColor="text1"/>
                      <w:lang w:eastAsia="zh-CN"/>
                    </w:rPr>
                  </w:pPr>
                  <w:r>
                    <w:rPr>
                      <w:rFonts w:hint="eastAsia"/>
                      <w:color w:val="000000" w:themeColor="text1"/>
                    </w:rPr>
                    <w:t>☑</w:t>
                  </w:r>
                  <w:r>
                    <w:rPr>
                      <w:rFonts w:hint="eastAsia"/>
                      <w:color w:val="000000" w:themeColor="text1"/>
                      <w:lang w:val="en-US" w:eastAsia="zh-CN"/>
                    </w:rPr>
                    <w:t>保质保量</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rPr>
                  </w:pPr>
                  <w:r>
                    <w:rPr>
                      <w:rFonts w:hint="eastAsia"/>
                      <w:color w:val="000000" w:themeColor="text1"/>
                    </w:rPr>
                    <w:t>☑供方</w:t>
                  </w:r>
                </w:p>
              </w:tc>
              <w:tc>
                <w:tcPr>
                  <w:tcW w:w="2495" w:type="dxa"/>
                </w:tcPr>
                <w:p>
                  <w:pPr>
                    <w:rPr>
                      <w:color w:val="000000" w:themeColor="text1"/>
                    </w:rPr>
                  </w:pPr>
                  <w:r>
                    <w:rPr>
                      <w:rFonts w:hint="eastAsia"/>
                      <w:color w:val="000000" w:themeColor="text1"/>
                    </w:rPr>
                    <w:t>例如：安徽</w:t>
                  </w:r>
                  <w:r>
                    <w:rPr>
                      <w:color w:val="000000" w:themeColor="text1"/>
                    </w:rPr>
                    <w:t>德</w:t>
                  </w:r>
                  <w:r>
                    <w:rPr>
                      <w:rFonts w:hint="eastAsia"/>
                      <w:color w:val="000000" w:themeColor="text1"/>
                    </w:rPr>
                    <w:t>青</w:t>
                  </w:r>
                  <w:r>
                    <w:rPr>
                      <w:color w:val="000000" w:themeColor="text1"/>
                    </w:rPr>
                    <w:t>源食品有限公司</w:t>
                  </w:r>
                </w:p>
              </w:tc>
              <w:tc>
                <w:tcPr>
                  <w:tcW w:w="3611" w:type="dxa"/>
                </w:tcPr>
                <w:p>
                  <w:pPr>
                    <w:rPr>
                      <w:color w:val="000000" w:themeColor="text1"/>
                    </w:rPr>
                  </w:pPr>
                  <w:r>
                    <w:rPr>
                      <w:rFonts w:ascii="Segoe UI Symbol" w:hAnsi="Segoe UI Symbol" w:cs="Segoe UI Symbol"/>
                      <w:color w:val="000000" w:themeColor="text1"/>
                    </w:rPr>
                    <w:t>☑</w:t>
                  </w:r>
                  <w:r>
                    <w:rPr>
                      <w:rFonts w:hint="eastAsia"/>
                      <w:color w:val="000000" w:themeColor="text1"/>
                    </w:rPr>
                    <w:t>组织的持续经营、</w:t>
                  </w:r>
                </w:p>
                <w:p>
                  <w:pPr>
                    <w:rPr>
                      <w:color w:val="000000" w:themeColor="text1"/>
                    </w:rPr>
                  </w:pPr>
                  <w:r>
                    <w:rPr>
                      <w:rFonts w:hint="eastAsia"/>
                      <w:color w:val="000000" w:themeColor="text1"/>
                    </w:rPr>
                    <w:t>☑明示采购的环保要求</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rPr>
                  </w:pPr>
                  <w:r>
                    <w:rPr>
                      <w:rFonts w:hint="eastAsia"/>
                      <w:color w:val="000000" w:themeColor="text1"/>
                    </w:rPr>
                    <w:t>☑顾客</w:t>
                  </w:r>
                </w:p>
              </w:tc>
              <w:tc>
                <w:tcPr>
                  <w:tcW w:w="2495" w:type="dxa"/>
                </w:tcPr>
                <w:p>
                  <w:pPr>
                    <w:rPr>
                      <w:color w:val="000000" w:themeColor="text1"/>
                    </w:rPr>
                  </w:pPr>
                  <w:r>
                    <w:rPr>
                      <w:rFonts w:hint="eastAsia"/>
                      <w:color w:val="000000" w:themeColor="text1"/>
                    </w:rPr>
                    <w:t>例如：苏州</w:t>
                  </w:r>
                  <w:r>
                    <w:rPr>
                      <w:color w:val="000000" w:themeColor="text1"/>
                    </w:rPr>
                    <w:t>市</w:t>
                  </w:r>
                  <w:r>
                    <w:rPr>
                      <w:rFonts w:hint="eastAsia"/>
                      <w:color w:val="000000" w:themeColor="text1"/>
                    </w:rPr>
                    <w:t>吴中</w:t>
                  </w:r>
                  <w:r>
                    <w:rPr>
                      <w:color w:val="000000" w:themeColor="text1"/>
                    </w:rPr>
                    <w:t>区</w:t>
                  </w:r>
                  <w:r>
                    <w:rPr>
                      <w:rFonts w:hint="eastAsia"/>
                      <w:color w:val="000000" w:themeColor="text1"/>
                    </w:rPr>
                    <w:t>东湖</w:t>
                  </w:r>
                  <w:r>
                    <w:rPr>
                      <w:color w:val="000000" w:themeColor="text1"/>
                    </w:rPr>
                    <w:t>小学</w:t>
                  </w:r>
                  <w:r>
                    <w:rPr>
                      <w:rFonts w:hint="eastAsia"/>
                      <w:color w:val="000000" w:themeColor="text1"/>
                    </w:rPr>
                    <w:t>。</w:t>
                  </w:r>
                  <w:r>
                    <w:rPr>
                      <w:color w:val="000000" w:themeColor="text1"/>
                    </w:rPr>
                    <w:t xml:space="preserve"> </w:t>
                  </w:r>
                </w:p>
              </w:tc>
              <w:tc>
                <w:tcPr>
                  <w:tcW w:w="3611" w:type="dxa"/>
                </w:tcPr>
                <w:p>
                  <w:pPr>
                    <w:ind w:left="210" w:hanging="210" w:hangingChars="100"/>
                    <w:rPr>
                      <w:color w:val="000000" w:themeColor="text1"/>
                    </w:rPr>
                  </w:pPr>
                  <w:r>
                    <w:rPr>
                      <w:rFonts w:ascii="Segoe UI Symbol" w:hAnsi="Segoe UI Symbol" w:cs="Segoe UI Symbol"/>
                      <w:color w:val="000000" w:themeColor="text1"/>
                    </w:rPr>
                    <w:t>☑</w:t>
                  </w:r>
                  <w:r>
                    <w:rPr>
                      <w:rFonts w:hint="eastAsia"/>
                      <w:color w:val="000000" w:themeColor="text1"/>
                    </w:rPr>
                    <w:t>不因</w:t>
                  </w:r>
                  <w:r>
                    <w:rPr>
                      <w:rFonts w:hint="eastAsia"/>
                      <w:color w:val="000000" w:themeColor="text1"/>
                      <w:lang w:val="en-US" w:eastAsia="zh-CN"/>
                    </w:rPr>
                    <w:t>质量</w:t>
                  </w:r>
                  <w:r>
                    <w:rPr>
                      <w:rFonts w:hint="eastAsia"/>
                      <w:color w:val="000000" w:themeColor="text1"/>
                    </w:rPr>
                    <w:t>问题影响按时按质按量交付产品或服务；</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szCs w:val="24"/>
                    </w:rPr>
                  </w:pPr>
                  <w:r>
                    <w:rPr>
                      <w:rFonts w:hint="eastAsia"/>
                      <w:color w:val="000000" w:themeColor="text1"/>
                    </w:rPr>
                    <w:t>☑员工</w:t>
                  </w:r>
                </w:p>
              </w:tc>
              <w:tc>
                <w:tcPr>
                  <w:tcW w:w="2495" w:type="dxa"/>
                </w:tcPr>
                <w:p>
                  <w:pPr>
                    <w:rPr>
                      <w:color w:val="000000" w:themeColor="text1"/>
                      <w:szCs w:val="24"/>
                    </w:rPr>
                  </w:pPr>
                  <w:r>
                    <w:rPr>
                      <w:rFonts w:hint="eastAsia"/>
                      <w:color w:val="000000" w:themeColor="text1"/>
                      <w:szCs w:val="24"/>
                    </w:rPr>
                    <w:t>——</w:t>
                  </w:r>
                </w:p>
              </w:tc>
              <w:tc>
                <w:tcPr>
                  <w:tcW w:w="3611" w:type="dxa"/>
                </w:tcPr>
                <w:p>
                  <w:pPr>
                    <w:rPr>
                      <w:color w:val="000000" w:themeColor="text1"/>
                    </w:rPr>
                  </w:pPr>
                  <w:r>
                    <w:rPr>
                      <w:rFonts w:hint="eastAsia"/>
                      <w:color w:val="000000" w:themeColor="text1"/>
                    </w:rPr>
                    <w:t>☑不因</w:t>
                  </w:r>
                  <w:r>
                    <w:rPr>
                      <w:rFonts w:hint="eastAsia"/>
                      <w:color w:val="000000" w:themeColor="text1"/>
                      <w:lang w:val="en-US" w:eastAsia="zh-CN"/>
                    </w:rPr>
                    <w:t>质量</w:t>
                  </w:r>
                  <w:r>
                    <w:rPr>
                      <w:rFonts w:hint="eastAsia"/>
                      <w:color w:val="000000" w:themeColor="text1"/>
                    </w:rPr>
                    <w:t>问题停产，组织持续经营</w:t>
                  </w:r>
                </w:p>
                <w:p>
                  <w:pPr>
                    <w:rPr>
                      <w:color w:val="000000" w:themeColor="text1"/>
                    </w:rPr>
                  </w:pPr>
                  <w:r>
                    <w:rPr>
                      <w:rFonts w:hint="eastAsia"/>
                      <w:color w:val="000000" w:themeColor="text1"/>
                    </w:rPr>
                    <w:t>□</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tcPr>
                <w:p>
                  <w:pPr>
                    <w:rPr>
                      <w:color w:val="000000" w:themeColor="text1"/>
                    </w:rPr>
                  </w:pPr>
                  <w:r>
                    <w:rPr>
                      <w:rFonts w:hint="eastAsia"/>
                      <w:color w:val="000000" w:themeColor="text1"/>
                    </w:rPr>
                    <w:t>☑社区</w:t>
                  </w:r>
                </w:p>
              </w:tc>
              <w:tc>
                <w:tcPr>
                  <w:tcW w:w="2495" w:type="dxa"/>
                </w:tcPr>
                <w:p>
                  <w:pPr>
                    <w:rPr>
                      <w:color w:val="000000" w:themeColor="text1"/>
                    </w:rPr>
                  </w:pPr>
                  <w:r>
                    <w:rPr>
                      <w:rFonts w:hint="eastAsia"/>
                      <w:color w:val="000000" w:themeColor="text1"/>
                    </w:rPr>
                    <w:t>吴中经济开发区</w:t>
                  </w:r>
                </w:p>
              </w:tc>
              <w:tc>
                <w:tcPr>
                  <w:tcW w:w="3611" w:type="dxa"/>
                </w:tcPr>
                <w:p>
                  <w:pPr>
                    <w:rPr>
                      <w:color w:val="000000" w:themeColor="text1"/>
                    </w:rPr>
                  </w:pPr>
                  <w:r>
                    <w:rPr>
                      <w:rFonts w:hint="eastAsia"/>
                      <w:color w:val="000000" w:themeColor="text1"/>
                    </w:rPr>
                    <w:t>☑不因</w:t>
                  </w:r>
                  <w:r>
                    <w:rPr>
                      <w:rFonts w:hint="eastAsia"/>
                      <w:color w:val="000000" w:themeColor="text1"/>
                      <w:lang w:val="en-US" w:eastAsia="zh-CN"/>
                    </w:rPr>
                    <w:t>配送过程</w:t>
                  </w:r>
                  <w:r>
                    <w:rPr>
                      <w:rFonts w:hint="eastAsia"/>
                      <w:color w:val="000000" w:themeColor="text1"/>
                    </w:rPr>
                    <w:t>问题影响污染周围的环境</w:t>
                  </w:r>
                </w:p>
                <w:p>
                  <w:pPr>
                    <w:rPr>
                      <w:color w:val="000000" w:themeColor="text1"/>
                    </w:rPr>
                  </w:pPr>
                  <w:r>
                    <w:rPr>
                      <w:rFonts w:hint="eastAsia"/>
                      <w:color w:val="000000" w:themeColor="text1"/>
                    </w:rPr>
                    <w:t>□</w:t>
                  </w:r>
                </w:p>
              </w:tc>
              <w:tc>
                <w:tcPr>
                  <w:tcW w:w="1324" w:type="dxa"/>
                </w:tcPr>
                <w:p>
                  <w:pPr>
                    <w:rPr>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000000" w:themeColor="text1"/>
                    </w:rPr>
                  </w:pPr>
                  <w:r>
                    <w:rPr>
                      <w:rFonts w:hint="eastAsia"/>
                      <w:color w:val="000000" w:themeColor="text1"/>
                    </w:rPr>
                    <w:t>□其他</w:t>
                  </w:r>
                </w:p>
              </w:tc>
              <w:tc>
                <w:tcPr>
                  <w:tcW w:w="2495" w:type="dxa"/>
                </w:tcPr>
                <w:p>
                  <w:pPr>
                    <w:rPr>
                      <w:color w:val="000000" w:themeColor="text1"/>
                    </w:rPr>
                  </w:pPr>
                </w:p>
              </w:tc>
              <w:tc>
                <w:tcPr>
                  <w:tcW w:w="3611" w:type="dxa"/>
                </w:tcPr>
                <w:p>
                  <w:pPr>
                    <w:rPr>
                      <w:color w:val="000000" w:themeColor="text1"/>
                    </w:rPr>
                  </w:pPr>
                </w:p>
              </w:tc>
              <w:tc>
                <w:tcPr>
                  <w:tcW w:w="1324" w:type="dxa"/>
                </w:tcPr>
                <w:p>
                  <w:pPr>
                    <w:rPr>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widowControl/>
              <w:jc w:val="center"/>
              <w:rPr>
                <w:rFonts w:ascii="宋体" w:hAnsi="宋体"/>
              </w:rPr>
            </w:pPr>
          </w:p>
          <w:p>
            <w:pPr>
              <w:widowControl/>
              <w:jc w:val="center"/>
              <w:rPr>
                <w:rFonts w:ascii="宋体" w:hAnsi="宋体"/>
              </w:rPr>
            </w:pPr>
            <w:r>
              <w:rPr>
                <w:rFonts w:hint="eastAsia" w:ascii="宋体" w:hAnsi="宋体"/>
              </w:rPr>
              <w:t xml:space="preserve">主要证据体现在 </w:t>
            </w:r>
            <w:r>
              <w:rPr>
                <w:rFonts w:hint="eastAsia" w:ascii="宋体" w:hAnsi="宋体"/>
              </w:rPr>
              <w:sym w:font="Wingdings" w:char="00FE"/>
            </w:r>
            <w:r>
              <w:rPr>
                <w:rFonts w:hint="eastAsia" w:ascii="宋体" w:hAnsi="宋体"/>
              </w:rPr>
              <w:t xml:space="preserve">《相关方的需求和期望清单》  </w:t>
            </w:r>
            <w:r>
              <w:rPr>
                <w:rFonts w:hint="eastAsia" w:ascii="宋体" w:hAnsi="宋体"/>
              </w:rPr>
              <w:sym w:font="Wingdings" w:char="00A8"/>
            </w:r>
            <w:r>
              <w:rPr>
                <w:rFonts w:hint="eastAsia" w:ascii="宋体" w:hAnsi="宋体"/>
              </w:rPr>
              <w:t xml:space="preserve">《年度业务计划》 </w:t>
            </w:r>
            <w:r>
              <w:rPr>
                <w:rFonts w:hint="eastAsia" w:ascii="宋体" w:hAnsi="宋体"/>
              </w:rPr>
              <w:sym w:font="Wingdings" w:char="00A8"/>
            </w:r>
            <w:r>
              <w:rPr>
                <w:rFonts w:hint="eastAsia" w:ascii="宋体" w:hAnsi="宋体"/>
              </w:rPr>
              <w:t>其他</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确定质量管理体系的范围</w:t>
            </w:r>
          </w:p>
        </w:tc>
        <w:tc>
          <w:tcPr>
            <w:tcW w:w="960" w:type="dxa"/>
            <w:vMerge w:val="restart"/>
          </w:tcPr>
          <w:p>
            <w:r>
              <w:rPr>
                <w:rFonts w:hint="eastAsia"/>
              </w:rPr>
              <w:t>Q4.3</w:t>
            </w:r>
          </w:p>
        </w:tc>
        <w:tc>
          <w:tcPr>
            <w:tcW w:w="745" w:type="dxa"/>
          </w:tcPr>
          <w:p>
            <w:r>
              <w:rPr>
                <w:rFonts w:hint="eastAsia"/>
              </w:rPr>
              <w:t>文件名称</w:t>
            </w:r>
          </w:p>
        </w:tc>
        <w:tc>
          <w:tcPr>
            <w:tcW w:w="9426" w:type="dxa"/>
          </w:tcPr>
          <w:p>
            <w:pPr>
              <w:widowControl/>
              <w:jc w:val="center"/>
              <w:rPr>
                <w:rFonts w:ascii="宋体" w:hAnsi="宋体"/>
              </w:rPr>
            </w:pPr>
            <w:r>
              <w:rPr>
                <w:rFonts w:hint="eastAsia" w:ascii="宋体" w:hAnsi="宋体"/>
              </w:rPr>
              <w:t>如：</w:t>
            </w:r>
            <w:r>
              <w:rPr>
                <w:rFonts w:hint="eastAsia" w:ascii="宋体" w:hAnsi="宋体"/>
              </w:rPr>
              <w:sym w:font="Wingdings" w:char="00FE"/>
            </w:r>
            <w:r>
              <w:rPr>
                <w:rFonts w:hint="eastAsia" w:ascii="宋体" w:hAnsi="宋体"/>
              </w:rPr>
              <w:t>管理手册第4.3章和</w:t>
            </w:r>
            <w:r>
              <w:rPr>
                <w:rFonts w:hint="eastAsia" w:ascii="宋体" w:hAnsi="宋体"/>
              </w:rPr>
              <w:sym w:font="Wingdings" w:char="00FE"/>
            </w:r>
            <w:r>
              <w:rPr>
                <w:rFonts w:hint="eastAsia" w:ascii="宋体" w:hAnsi="宋体"/>
              </w:rPr>
              <w:t>0.4“公司概况”</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widowControl/>
              <w:jc w:val="center"/>
              <w:rPr>
                <w:rFonts w:ascii="宋体" w:hAnsi="宋体"/>
              </w:rPr>
            </w:pPr>
            <w:r>
              <w:rPr>
                <w:rFonts w:hint="eastAsia" w:ascii="宋体" w:hAnsi="宋体"/>
              </w:rPr>
              <w:t>组织应明确相关管理体系的范围；</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7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widowControl/>
                    <w:jc w:val="center"/>
                    <w:rPr>
                      <w:rFonts w:ascii="宋体" w:hAnsi="宋体"/>
                    </w:rPr>
                  </w:pPr>
                  <w:r>
                    <w:rPr>
                      <w:rFonts w:hint="eastAsia" w:ascii="宋体" w:hAnsi="宋体"/>
                    </w:rPr>
                    <w:t>范围的项目</w:t>
                  </w:r>
                </w:p>
              </w:tc>
              <w:tc>
                <w:tcPr>
                  <w:tcW w:w="7132" w:type="dxa"/>
                </w:tcPr>
                <w:p>
                  <w:pPr>
                    <w:widowControl/>
                    <w:jc w:val="left"/>
                    <w:rPr>
                      <w:rFonts w:ascii="宋体" w:hAnsi="宋体"/>
                    </w:rPr>
                  </w:pPr>
                  <w:r>
                    <w:rPr>
                      <w:rFonts w:hint="eastAsia" w:ascii="宋体" w:hAnsi="宋体"/>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widowControl/>
                    <w:jc w:val="center"/>
                    <w:rPr>
                      <w:rFonts w:ascii="宋体" w:hAnsi="宋体"/>
                    </w:rPr>
                  </w:pPr>
                  <w:r>
                    <w:rPr>
                      <w:rFonts w:hint="eastAsia" w:ascii="宋体" w:hAnsi="宋体"/>
                    </w:rPr>
                    <w:t>产品/服务的活动</w:t>
                  </w:r>
                </w:p>
              </w:tc>
              <w:tc>
                <w:tcPr>
                  <w:tcW w:w="7132" w:type="dxa"/>
                </w:tcPr>
                <w:p>
                  <w:pPr>
                    <w:widowControl/>
                    <w:jc w:val="left"/>
                    <w:rPr>
                      <w:rFonts w:ascii="宋体" w:hAnsi="宋体"/>
                    </w:rPr>
                  </w:pPr>
                  <w:r>
                    <w:rPr>
                      <w:sz w:val="20"/>
                    </w:rPr>
                    <w:t>初级农产品（蔬菜、畜禽肉类、蛋类）、预包装食品（冷冻类）的销售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widowControl/>
                    <w:jc w:val="center"/>
                    <w:rPr>
                      <w:rFonts w:ascii="宋体" w:hAnsi="宋体"/>
                    </w:rPr>
                  </w:pPr>
                  <w:r>
                    <w:rPr>
                      <w:rFonts w:hint="eastAsia" w:ascii="宋体" w:hAnsi="宋体"/>
                    </w:rPr>
                    <w:t>注册地址</w:t>
                  </w:r>
                </w:p>
              </w:tc>
              <w:tc>
                <w:tcPr>
                  <w:tcW w:w="7132" w:type="dxa"/>
                </w:tcPr>
                <w:p>
                  <w:pPr>
                    <w:widowControl/>
                    <w:jc w:val="left"/>
                    <w:rPr>
                      <w:rFonts w:ascii="宋体" w:hAnsi="宋体"/>
                    </w:rPr>
                  </w:pPr>
                  <w:bookmarkStart w:id="0" w:name="生产地址"/>
                  <w:r>
                    <w:rPr>
                      <w:rFonts w:asciiTheme="minorEastAsia" w:hAnsiTheme="minorEastAsia" w:eastAsiaTheme="minorEastAsia"/>
                      <w:sz w:val="20"/>
                    </w:rPr>
                    <w:t>苏州吴中经济开发区越溪街道文溪商业街947号</w:t>
                  </w:r>
                  <w:bookmarkEnd w:id="0"/>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widowControl/>
                    <w:jc w:val="center"/>
                    <w:rPr>
                      <w:rFonts w:ascii="宋体" w:hAnsi="宋体"/>
                    </w:rPr>
                  </w:pPr>
                  <w:r>
                    <w:rPr>
                      <w:rFonts w:hint="eastAsia" w:ascii="宋体" w:hAnsi="宋体"/>
                    </w:rPr>
                    <w:t>经营地址</w:t>
                  </w:r>
                </w:p>
              </w:tc>
              <w:tc>
                <w:tcPr>
                  <w:tcW w:w="7132" w:type="dxa"/>
                </w:tcPr>
                <w:p>
                  <w:pPr>
                    <w:widowControl/>
                    <w:jc w:val="left"/>
                    <w:rPr>
                      <w:rFonts w:ascii="宋体" w:hAnsi="宋体"/>
                    </w:rPr>
                  </w:pPr>
                  <w:r>
                    <w:rPr>
                      <w:rFonts w:asciiTheme="minorEastAsia" w:hAnsiTheme="minorEastAsia" w:eastAsiaTheme="minorEastAsia"/>
                      <w:sz w:val="20"/>
                    </w:rPr>
                    <w:t>苏州吴中经济开发区越溪街道文溪商业街947号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widowControl/>
                    <w:jc w:val="center"/>
                    <w:rPr>
                      <w:rFonts w:ascii="宋体" w:hAnsi="宋体"/>
                    </w:rPr>
                  </w:pPr>
                  <w:r>
                    <w:rPr>
                      <w:rFonts w:hint="eastAsia" w:ascii="宋体" w:hAnsi="宋体"/>
                    </w:rPr>
                    <w:t>组织单元（部门/分支）</w:t>
                  </w:r>
                </w:p>
              </w:tc>
              <w:tc>
                <w:tcPr>
                  <w:tcW w:w="7132" w:type="dxa"/>
                </w:tcPr>
                <w:p>
                  <w:pPr>
                    <w:widowControl/>
                    <w:jc w:val="left"/>
                    <w:rPr>
                      <w:rFonts w:ascii="宋体" w:hAnsi="宋体"/>
                    </w:rPr>
                  </w:pPr>
                  <w:r>
                    <w:rPr>
                      <w:rFonts w:hint="eastAsia" w:ascii="宋体" w:hAnsi="宋体"/>
                    </w:rPr>
                    <w:sym w:font="Wingdings" w:char="00FE"/>
                  </w:r>
                  <w:r>
                    <w:rPr>
                      <w:rFonts w:hint="eastAsia" w:ascii="宋体" w:hAnsi="宋体"/>
                    </w:rPr>
                    <w:t>与组织结构图一致</w:t>
                  </w:r>
                </w:p>
                <w:p>
                  <w:pPr>
                    <w:widowControl/>
                    <w:jc w:val="left"/>
                    <w:rPr>
                      <w:rFonts w:ascii="宋体" w:hAnsi="宋体"/>
                    </w:rPr>
                  </w:pPr>
                  <w:r>
                    <w:rPr>
                      <w:rFonts w:hint="eastAsia" w:ascii="宋体" w:hAnsi="宋体"/>
                    </w:rPr>
                    <w:sym w:font="Wingdings" w:char="00A8"/>
                  </w:r>
                  <w:r>
                    <w:rPr>
                      <w:rFonts w:hint="eastAsia" w:ascii="宋体" w:hAnsi="宋体"/>
                    </w:rPr>
                    <w:t xml:space="preserve">分支机构，如：                   </w:t>
                  </w:r>
                </w:p>
                <w:p>
                  <w:pPr>
                    <w:widowControl/>
                    <w:jc w:val="left"/>
                    <w:rPr>
                      <w:rFonts w:ascii="宋体" w:hAnsi="宋体"/>
                    </w:rPr>
                  </w:pPr>
                  <w:r>
                    <w:rPr>
                      <w:rFonts w:hint="eastAsia" w:ascii="宋体" w:hAnsi="宋体"/>
                    </w:rPr>
                    <w:sym w:font="Wingdings" w:char="00A8"/>
                  </w:r>
                  <w:r>
                    <w:rPr>
                      <w:rFonts w:hint="eastAsia" w:ascii="宋体" w:hAnsi="宋体"/>
                    </w:rPr>
                    <w:t xml:space="preserve">临时场所，如：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widowControl/>
                    <w:jc w:val="center"/>
                    <w:rPr>
                      <w:rFonts w:ascii="宋体" w:hAnsi="宋体"/>
                    </w:rPr>
                  </w:pPr>
                  <w:r>
                    <w:rPr>
                      <w:rFonts w:hint="eastAsia" w:ascii="宋体" w:hAnsi="宋体"/>
                    </w:rPr>
                    <w:t>时间</w:t>
                  </w:r>
                </w:p>
              </w:tc>
              <w:tc>
                <w:tcPr>
                  <w:tcW w:w="7132" w:type="dxa"/>
                </w:tcPr>
                <w:p>
                  <w:pPr>
                    <w:widowControl/>
                    <w:jc w:val="left"/>
                    <w:rPr>
                      <w:rFonts w:ascii="宋体" w:hAnsi="宋体"/>
                    </w:rPr>
                  </w:pPr>
                  <w:r>
                    <w:rPr>
                      <w:rFonts w:hint="eastAsia" w:ascii="宋体" w:hAnsi="宋体"/>
                    </w:rPr>
                    <w:sym w:font="Wingdings" w:char="00A8"/>
                  </w:r>
                  <w:r>
                    <w:rPr>
                      <w:rFonts w:hint="eastAsia" w:ascii="宋体" w:hAnsi="宋体"/>
                    </w:rPr>
                    <w:t xml:space="preserve"> 体系建立以来</w:t>
                  </w:r>
                </w:p>
                <w:p>
                  <w:pPr>
                    <w:widowControl/>
                    <w:jc w:val="left"/>
                    <w:rPr>
                      <w:rFonts w:ascii="宋体" w:hAnsi="宋体"/>
                    </w:rPr>
                  </w:pPr>
                  <w:r>
                    <w:rPr>
                      <w:rFonts w:hint="eastAsia" w:ascii="宋体" w:hAnsi="宋体"/>
                    </w:rPr>
                    <w:sym w:font="Wingdings" w:char="00FE"/>
                  </w:r>
                  <w:r>
                    <w:rPr>
                      <w:rFonts w:hint="eastAsia" w:ascii="宋体" w:hAnsi="宋体"/>
                    </w:rPr>
                    <w:t>近一年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widowControl/>
                    <w:jc w:val="center"/>
                    <w:rPr>
                      <w:rFonts w:ascii="宋体" w:hAnsi="宋体"/>
                    </w:rPr>
                  </w:pPr>
                  <w:r>
                    <w:rPr>
                      <w:rFonts w:hint="eastAsia" w:ascii="宋体" w:hAnsi="宋体"/>
                    </w:rPr>
                    <w:t>不适用ISO9001的条款</w:t>
                  </w:r>
                </w:p>
              </w:tc>
              <w:tc>
                <w:tcPr>
                  <w:tcW w:w="7132" w:type="dxa"/>
                </w:tcPr>
                <w:p>
                  <w:pPr>
                    <w:widowControl/>
                    <w:jc w:val="left"/>
                    <w:rPr>
                      <w:rFonts w:ascii="宋体" w:hAnsi="宋体"/>
                    </w:rPr>
                  </w:pPr>
                  <w:r>
                    <w:rPr>
                      <w:rFonts w:hint="eastAsia" w:ascii="宋体" w:hAnsi="宋体"/>
                    </w:rPr>
                    <w:sym w:font="Wingdings" w:char="00FE"/>
                  </w:r>
                  <w:r>
                    <w:rPr>
                      <w:rFonts w:hint="eastAsia" w:ascii="宋体" w:hAnsi="宋体"/>
                    </w:rPr>
                    <w:t>8.3产品和服务的设计和开发</w:t>
                  </w:r>
                </w:p>
                <w:p>
                  <w:pPr>
                    <w:widowControl/>
                    <w:jc w:val="left"/>
                    <w:rPr>
                      <w:rFonts w:ascii="宋体" w:hAnsi="宋体"/>
                    </w:rPr>
                  </w:pPr>
                  <w:r>
                    <w:rPr>
                      <w:rFonts w:hint="eastAsia" w:ascii="宋体" w:hAnsi="宋体"/>
                    </w:rPr>
                    <w:sym w:font="Wingdings" w:char="00A8"/>
                  </w: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widowControl/>
                    <w:jc w:val="center"/>
                    <w:rPr>
                      <w:rFonts w:ascii="宋体" w:hAnsi="宋体"/>
                    </w:rPr>
                  </w:pPr>
                  <w:r>
                    <w:rPr>
                      <w:rFonts w:hint="eastAsia" w:ascii="宋体" w:hAnsi="宋体"/>
                    </w:rPr>
                    <w:t>不适用的理由（可多选）</w:t>
                  </w:r>
                </w:p>
              </w:tc>
              <w:tc>
                <w:tcPr>
                  <w:tcW w:w="7132" w:type="dxa"/>
                  <w:vAlign w:val="center"/>
                </w:tcPr>
                <w:p>
                  <w:pPr>
                    <w:widowControl/>
                    <w:jc w:val="left"/>
                    <w:rPr>
                      <w:rFonts w:ascii="宋体" w:hAnsi="宋体"/>
                    </w:rPr>
                  </w:pPr>
                  <w:r>
                    <w:rPr>
                      <w:rFonts w:hint="eastAsia" w:ascii="宋体" w:hAnsi="宋体"/>
                    </w:rPr>
                    <w:t xml:space="preserve">□受审核组织没有设计开发的责任    </w:t>
                  </w:r>
                </w:p>
                <w:p>
                  <w:pPr>
                    <w:widowControl/>
                    <w:jc w:val="left"/>
                    <w:rPr>
                      <w:rFonts w:ascii="宋体" w:hAnsi="宋体"/>
                    </w:rPr>
                  </w:pPr>
                  <w:r>
                    <w:rPr>
                      <w:rFonts w:hint="eastAsia" w:ascii="宋体" w:hAnsi="宋体"/>
                    </w:rPr>
                    <w:t xml:space="preserve">□受审核组织没有设计开发的能力   </w:t>
                  </w:r>
                </w:p>
                <w:p>
                  <w:pPr>
                    <w:widowControl/>
                    <w:jc w:val="left"/>
                    <w:rPr>
                      <w:rFonts w:ascii="宋体" w:hAnsi="宋体"/>
                    </w:rPr>
                  </w:pPr>
                  <w:r>
                    <w:rPr>
                      <w:rFonts w:hint="eastAsia" w:ascii="宋体" w:hAnsi="宋体"/>
                    </w:rPr>
                    <w:t>□受审核组织没有设计开发修改的权力</w:t>
                  </w:r>
                </w:p>
                <w:p>
                  <w:pPr>
                    <w:widowControl/>
                    <w:jc w:val="left"/>
                    <w:rPr>
                      <w:rFonts w:ascii="宋体" w:hAnsi="宋体"/>
                    </w:rPr>
                  </w:pPr>
                  <w:r>
                    <w:rPr>
                      <w:rFonts w:hint="eastAsia" w:ascii="宋体" w:hAnsi="宋体"/>
                    </w:rPr>
                    <w:t>□受审核组织按照顾客图纸和合同要求提供生产和服务</w:t>
                  </w:r>
                </w:p>
                <w:p>
                  <w:pPr>
                    <w:widowControl/>
                    <w:jc w:val="left"/>
                    <w:rPr>
                      <w:rFonts w:ascii="宋体" w:hAnsi="宋体"/>
                    </w:rPr>
                  </w:pPr>
                  <w:r>
                    <w:rPr>
                      <w:rFonts w:hint="eastAsia" w:ascii="宋体" w:hAnsi="宋体"/>
                    </w:rPr>
                    <w:t>□受审核组织按照公司总部的技术要求提供生产和服务</w:t>
                  </w:r>
                </w:p>
                <w:p>
                  <w:pPr>
                    <w:widowControl/>
                    <w:jc w:val="left"/>
                    <w:rPr>
                      <w:rFonts w:ascii="宋体" w:hAnsi="宋体"/>
                    </w:rPr>
                  </w:pPr>
                  <w:r>
                    <w:rPr>
                      <w:rFonts w:hint="eastAsia" w:ascii="宋体" w:hAnsi="宋体"/>
                    </w:rPr>
                    <w:sym w:font="Wingdings" w:char="00FE"/>
                  </w:r>
                  <w:r>
                    <w:rPr>
                      <w:rFonts w:hint="eastAsia" w:ascii="宋体" w:hAnsi="宋体"/>
                    </w:rPr>
                    <w:t>受审核组织按照传统工艺提供生产和服务</w:t>
                  </w:r>
                </w:p>
                <w:p>
                  <w:pPr>
                    <w:widowControl/>
                    <w:jc w:val="left"/>
                    <w:rPr>
                      <w:rFonts w:ascii="宋体" w:hAnsi="宋体"/>
                    </w:rPr>
                  </w:pPr>
                  <w:r>
                    <w:rPr>
                      <w:rFonts w:hint="eastAsia" w:ascii="宋体" w:hAnsi="宋体"/>
                    </w:rPr>
                    <w:t>□其他：</w:t>
                  </w:r>
                </w:p>
              </w:tc>
            </w:tr>
          </w:tbl>
          <w:p>
            <w:pPr>
              <w:widowControl/>
              <w:jc w:val="center"/>
              <w:rPr>
                <w:rFonts w:ascii="宋体" w:hAnsi="宋体"/>
              </w:rPr>
            </w:pPr>
          </w:p>
          <w:p>
            <w:pPr>
              <w:widowControl/>
              <w:jc w:val="center"/>
              <w:rPr>
                <w:rFonts w:ascii="宋体" w:hAnsi="宋体"/>
              </w:rPr>
            </w:pP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质量管理体系及其过程</w:t>
            </w:r>
          </w:p>
        </w:tc>
        <w:tc>
          <w:tcPr>
            <w:tcW w:w="960" w:type="dxa"/>
            <w:vMerge w:val="restart"/>
          </w:tcPr>
          <w:p>
            <w:r>
              <w:rPr>
                <w:rFonts w:hint="eastAsia"/>
              </w:rPr>
              <w:t xml:space="preserve">Q4.4 </w:t>
            </w:r>
          </w:p>
        </w:tc>
        <w:tc>
          <w:tcPr>
            <w:tcW w:w="745" w:type="dxa"/>
          </w:tcPr>
          <w:p>
            <w:r>
              <w:rPr>
                <w:rFonts w:hint="eastAsia"/>
              </w:rPr>
              <w:t>文件名称</w:t>
            </w:r>
          </w:p>
        </w:tc>
        <w:tc>
          <w:tcPr>
            <w:tcW w:w="9426" w:type="dxa"/>
          </w:tcPr>
          <w:p>
            <w:r>
              <w:rPr>
                <w:rFonts w:hint="eastAsia"/>
              </w:rPr>
              <w:t>如：</w:t>
            </w:r>
            <w:r>
              <w:rPr>
                <w:rFonts w:hint="eastAsia" w:ascii="MS Gothic" w:hAnsi="MS Gothic" w:eastAsia="MS Gothic" w:cs="MS Gothic"/>
              </w:rPr>
              <w:t>☑</w:t>
            </w:r>
            <w:r>
              <w:rPr>
                <w:rFonts w:hint="eastAsia" w:ascii="宋体" w:hAnsi="宋体" w:cs="宋体"/>
              </w:rPr>
              <w:t>管理手册第</w:t>
            </w:r>
            <w:r>
              <w:rPr>
                <w:rFonts w:hint="eastAsia"/>
              </w:rPr>
              <w:t>4.4章和</w:t>
            </w:r>
            <w:r>
              <w:rPr>
                <w:rFonts w:hint="eastAsia" w:ascii="MS Gothic" w:hAnsi="MS Gothic" w:eastAsia="MS Gothic" w:cs="MS Gothic"/>
              </w:rPr>
              <w:t>☑</w:t>
            </w:r>
            <w:r>
              <w:rPr>
                <w:rFonts w:hint="eastAsia"/>
              </w:rPr>
              <w:t>《风险和机遇评估分析表》</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spacing w:before="40" w:after="40"/>
              <w:rPr>
                <w:lang w:val="en-GB"/>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pP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rPr>
                <w:b/>
                <w:bCs/>
              </w:rPr>
            </w:pPr>
            <w:r>
              <w:rPr>
                <w:rFonts w:hint="eastAsia"/>
              </w:rPr>
              <w:t>☑订单评审过程 ☑配送过程 ☑交付和顾客反馈过程 ☑经营计划过程☑内部审核过程 ☑管理评审过程 ☑文件记录管理过程 ☑人力资源管理过程 ☑采购过程 ☑检验过程 ☑设备工装管理过程☑检验设备管理过程☑不合格管理过程☑改进过程</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□新产品设计开发 □原材料订制 ☑配送过程 □检验检测 ☑产品运输 □设备维修</w:t>
            </w:r>
          </w:p>
          <w:p>
            <w:pPr>
              <w:spacing w:before="40" w:after="40"/>
            </w:pPr>
            <w:r>
              <w:rPr>
                <w:rFonts w:hint="eastAsia"/>
              </w:rPr>
              <w:t>□人员培训 □其他</w:t>
            </w:r>
          </w:p>
          <w:p>
            <w:pPr>
              <w:rPr>
                <w:highlight w:val="cyan"/>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领导作用与承诺</w:t>
            </w:r>
          </w:p>
        </w:tc>
        <w:tc>
          <w:tcPr>
            <w:tcW w:w="960" w:type="dxa"/>
            <w:vMerge w:val="restart"/>
          </w:tcPr>
          <w:p>
            <w:r>
              <w:rPr>
                <w:rFonts w:hint="eastAsia"/>
              </w:rPr>
              <w:t>Q5.1  </w:t>
            </w:r>
          </w:p>
        </w:tc>
        <w:tc>
          <w:tcPr>
            <w:tcW w:w="745" w:type="dxa"/>
          </w:tcPr>
          <w:p>
            <w:r>
              <w:rPr>
                <w:rFonts w:hint="eastAsia"/>
              </w:rPr>
              <w:t>文件名称</w:t>
            </w:r>
          </w:p>
        </w:tc>
        <w:tc>
          <w:tcPr>
            <w:tcW w:w="9426" w:type="dxa"/>
          </w:tcPr>
          <w:p>
            <w:r>
              <w:rPr>
                <w:rFonts w:hint="eastAsia"/>
              </w:rPr>
              <w:t>如：☑管理手册第5.1章和☑最高管理者岗位职责</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rPr>
                <w:color w:val="000000"/>
                <w:szCs w:val="21"/>
              </w:rPr>
            </w:pPr>
            <w:r>
              <w:rPr>
                <w:rFonts w:hint="eastAsia"/>
                <w:color w:val="000000"/>
                <w:szCs w:val="21"/>
              </w:rPr>
              <w:t xml:space="preserve"> 与最高管理者沟通其领导作用与承诺：</w:t>
            </w:r>
          </w:p>
          <w:p>
            <w:pPr>
              <w:rPr>
                <w:color w:val="000000"/>
                <w:szCs w:val="21"/>
              </w:rPr>
            </w:pPr>
            <w:r>
              <w:rPr>
                <w:rFonts w:hint="eastAsia"/>
                <w:color w:val="000000"/>
                <w:szCs w:val="21"/>
              </w:rPr>
              <w:sym w:font="Wingdings" w:char="00FE"/>
            </w:r>
            <w:r>
              <w:rPr>
                <w:rFonts w:hint="eastAsia"/>
                <w:color w:val="000000"/>
                <w:szCs w:val="21"/>
              </w:rPr>
              <w:t xml:space="preserve">对质量管理体系的有效性承担责任； </w:t>
            </w:r>
          </w:p>
          <w:p>
            <w:pPr>
              <w:rPr>
                <w:color w:val="000000"/>
                <w:szCs w:val="21"/>
              </w:rPr>
            </w:pPr>
            <w:r>
              <w:rPr>
                <w:rFonts w:hint="eastAsia"/>
                <w:color w:val="000000"/>
                <w:szCs w:val="21"/>
              </w:rPr>
              <w:sym w:font="Wingdings" w:char="00FE"/>
            </w:r>
            <w:r>
              <w:rPr>
                <w:rFonts w:hint="eastAsia"/>
                <w:color w:val="000000"/>
                <w:szCs w:val="21"/>
              </w:rPr>
              <w:t xml:space="preserve">确保制定质量管理体系的质量方针和质量目标，并与组织的环境和战略方向相一致； </w:t>
            </w:r>
          </w:p>
          <w:p>
            <w:pPr>
              <w:rPr>
                <w:color w:val="000000"/>
                <w:szCs w:val="21"/>
              </w:rPr>
            </w:pPr>
            <w:r>
              <w:rPr>
                <w:rFonts w:hint="eastAsia"/>
                <w:color w:val="000000"/>
                <w:szCs w:val="21"/>
              </w:rPr>
              <w:sym w:font="Wingdings" w:char="00FE"/>
            </w:r>
            <w:r>
              <w:rPr>
                <w:rFonts w:hint="eastAsia"/>
                <w:color w:val="000000"/>
                <w:szCs w:val="21"/>
              </w:rPr>
              <w:t xml:space="preserve">确保质量管理体系要求融入组织的业务过程；  </w:t>
            </w:r>
          </w:p>
          <w:p>
            <w:pPr>
              <w:rPr>
                <w:color w:val="000000"/>
                <w:szCs w:val="21"/>
              </w:rPr>
            </w:pPr>
            <w:r>
              <w:rPr>
                <w:rFonts w:hint="eastAsia"/>
                <w:color w:val="000000"/>
                <w:szCs w:val="21"/>
              </w:rPr>
              <w:sym w:font="Wingdings" w:char="00FE"/>
            </w:r>
            <w:r>
              <w:rPr>
                <w:rFonts w:hint="eastAsia"/>
                <w:color w:val="000000"/>
                <w:szCs w:val="21"/>
              </w:rPr>
              <w:t xml:space="preserve">促进使用过程方法和基于风险的思维； </w:t>
            </w:r>
          </w:p>
          <w:p>
            <w:pPr>
              <w:rPr>
                <w:color w:val="000000"/>
                <w:szCs w:val="21"/>
              </w:rPr>
            </w:pPr>
            <w:r>
              <w:rPr>
                <w:rFonts w:hint="eastAsia"/>
                <w:color w:val="000000"/>
                <w:szCs w:val="21"/>
              </w:rPr>
              <w:sym w:font="Wingdings" w:char="00FE"/>
            </w:r>
            <w:r>
              <w:rPr>
                <w:rFonts w:hint="eastAsia"/>
                <w:color w:val="000000"/>
                <w:szCs w:val="21"/>
              </w:rPr>
              <w:t xml:space="preserve">确保质量管理体系所需的资源是可用的； </w:t>
            </w:r>
          </w:p>
          <w:p>
            <w:pPr>
              <w:rPr>
                <w:color w:val="000000"/>
                <w:szCs w:val="21"/>
              </w:rPr>
            </w:pPr>
            <w:r>
              <w:rPr>
                <w:rFonts w:hint="eastAsia"/>
                <w:color w:val="000000"/>
                <w:szCs w:val="21"/>
              </w:rPr>
              <w:sym w:font="Wingdings" w:char="00FE"/>
            </w:r>
            <w:r>
              <w:rPr>
                <w:rFonts w:hint="eastAsia"/>
                <w:color w:val="000000"/>
                <w:szCs w:val="21"/>
              </w:rPr>
              <w:t>沟通有效的质量管理和符合质量管理体系要求的重要性；</w:t>
            </w:r>
          </w:p>
          <w:p>
            <w:pPr>
              <w:rPr>
                <w:color w:val="000000"/>
                <w:szCs w:val="21"/>
              </w:rPr>
            </w:pPr>
            <w:r>
              <w:rPr>
                <w:rFonts w:hint="eastAsia"/>
                <w:color w:val="000000"/>
                <w:szCs w:val="21"/>
              </w:rPr>
              <w:sym w:font="Wingdings" w:char="00FE"/>
            </w:r>
            <w:r>
              <w:rPr>
                <w:rFonts w:hint="eastAsia"/>
                <w:color w:val="000000"/>
                <w:szCs w:val="21"/>
              </w:rPr>
              <w:t>确保质量管理体系实现其预期结果；</w:t>
            </w:r>
          </w:p>
          <w:p>
            <w:pPr>
              <w:rPr>
                <w:color w:val="000000"/>
                <w:szCs w:val="21"/>
              </w:rPr>
            </w:pPr>
            <w:r>
              <w:rPr>
                <w:rFonts w:hint="eastAsia"/>
                <w:color w:val="000000"/>
                <w:szCs w:val="21"/>
              </w:rPr>
              <w:sym w:font="Wingdings" w:char="00FE"/>
            </w:r>
            <w:r>
              <w:rPr>
                <w:rFonts w:hint="eastAsia"/>
                <w:color w:val="000000"/>
                <w:szCs w:val="21"/>
              </w:rPr>
              <w:t>促使员工积极参与、指导和支持他们为质量管理体系的有效性作出贡献；</w:t>
            </w:r>
          </w:p>
          <w:p>
            <w:pPr>
              <w:rPr>
                <w:color w:val="000000"/>
                <w:szCs w:val="21"/>
              </w:rPr>
            </w:pPr>
            <w:r>
              <w:rPr>
                <w:rFonts w:hint="eastAsia"/>
                <w:color w:val="000000"/>
                <w:szCs w:val="21"/>
              </w:rPr>
              <w:sym w:font="Wingdings" w:char="00FE"/>
            </w:r>
            <w:r>
              <w:rPr>
                <w:rFonts w:hint="eastAsia"/>
                <w:color w:val="000000"/>
                <w:szCs w:val="21"/>
              </w:rPr>
              <w:t>推动改进；</w:t>
            </w:r>
          </w:p>
          <w:p>
            <w:pPr>
              <w:rPr>
                <w:color w:val="000000"/>
                <w:szCs w:val="21"/>
              </w:rPr>
            </w:pPr>
            <w:r>
              <w:rPr>
                <w:rFonts w:hint="eastAsia"/>
                <w:color w:val="000000"/>
                <w:szCs w:val="21"/>
              </w:rPr>
              <w:sym w:font="Wingdings" w:char="00FE"/>
            </w:r>
            <w:r>
              <w:rPr>
                <w:rFonts w:hint="eastAsia"/>
                <w:color w:val="000000"/>
                <w:szCs w:val="21"/>
              </w:rPr>
              <w:t>支持其他相关管理者在其职责范围内发挥领导作用。</w:t>
            </w:r>
          </w:p>
          <w:p>
            <w:pPr>
              <w:rPr>
                <w:color w:val="000000"/>
                <w:szCs w:val="21"/>
              </w:rPr>
            </w:pPr>
          </w:p>
          <w:p>
            <w:pPr>
              <w:rPr>
                <w:color w:val="000000"/>
                <w:szCs w:val="21"/>
              </w:rPr>
            </w:pPr>
            <w:r>
              <w:rPr>
                <w:rFonts w:hint="eastAsia"/>
                <w:color w:val="000000"/>
                <w:szCs w:val="21"/>
              </w:rPr>
              <w:sym w:font="Wingdings" w:char="00FE"/>
            </w:r>
            <w:r>
              <w:rPr>
                <w:rFonts w:hint="eastAsia"/>
                <w:color w:val="000000"/>
                <w:szCs w:val="21"/>
              </w:rPr>
              <w:t xml:space="preserve"> 覆盖了标准第5.1章的全面要求，</w:t>
            </w:r>
            <w:r>
              <w:rPr>
                <w:rFonts w:hint="eastAsia"/>
                <w:color w:val="000000"/>
                <w:szCs w:val="21"/>
              </w:rPr>
              <w:sym w:font="Wingdings" w:char="00A8"/>
            </w:r>
            <w:r>
              <w:rPr>
                <w:rFonts w:hint="eastAsia"/>
                <w:color w:val="000000"/>
                <w:szCs w:val="21"/>
              </w:rPr>
              <w:t xml:space="preserve"> 未覆盖标准第5.1章的全面要求，缺少：</w:t>
            </w:r>
            <w:r>
              <w:rPr>
                <w:rFonts w:hint="eastAsia"/>
                <w:color w:val="000000"/>
                <w:szCs w:val="21"/>
                <w:u w:val="single"/>
              </w:rPr>
              <w:t xml:space="preserve">         </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以顾客为关注焦点</w:t>
            </w:r>
          </w:p>
          <w:p/>
        </w:tc>
        <w:tc>
          <w:tcPr>
            <w:tcW w:w="960" w:type="dxa"/>
            <w:vMerge w:val="restart"/>
          </w:tcPr>
          <w:p>
            <w:r>
              <w:rPr>
                <w:rFonts w:hint="eastAsia"/>
              </w:rPr>
              <w:t>Q5.1.2  </w:t>
            </w:r>
          </w:p>
        </w:tc>
        <w:tc>
          <w:tcPr>
            <w:tcW w:w="745" w:type="dxa"/>
          </w:tcPr>
          <w:p>
            <w:r>
              <w:rPr>
                <w:rFonts w:hint="eastAsia"/>
              </w:rPr>
              <w:t>文件名称</w:t>
            </w:r>
          </w:p>
        </w:tc>
        <w:tc>
          <w:tcPr>
            <w:tcW w:w="9426" w:type="dxa"/>
          </w:tcPr>
          <w:p>
            <w:r>
              <w:rPr>
                <w:rFonts w:hint="eastAsia"/>
              </w:rPr>
              <w:t>如：☑管理手册第5.1章</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rPr>
                <w:color w:val="000000"/>
                <w:szCs w:val="21"/>
              </w:rPr>
            </w:pPr>
            <w:r>
              <w:rPr>
                <w:rFonts w:hint="eastAsia"/>
                <w:color w:val="000000"/>
                <w:szCs w:val="21"/>
              </w:rPr>
              <w:t xml:space="preserve"> 最高管理者证实其以顾客为关注焦点的领导作用和承诺：</w:t>
            </w:r>
          </w:p>
          <w:p>
            <w:pPr>
              <w:rPr>
                <w:color w:val="000000"/>
                <w:szCs w:val="21"/>
              </w:rPr>
            </w:pPr>
            <w:r>
              <w:rPr>
                <w:rFonts w:hint="eastAsia"/>
              </w:rPr>
              <w:t>☑</w:t>
            </w:r>
            <w:r>
              <w:rPr>
                <w:rFonts w:hint="eastAsia"/>
                <w:color w:val="000000"/>
                <w:szCs w:val="21"/>
              </w:rPr>
              <w:t xml:space="preserve">确定、理解并持续地满足顾客要求以及适用的法律法规要求； </w:t>
            </w:r>
          </w:p>
          <w:p>
            <w:pPr>
              <w:rPr>
                <w:color w:val="000000"/>
                <w:szCs w:val="21"/>
              </w:rPr>
            </w:pPr>
            <w:r>
              <w:rPr>
                <w:rFonts w:hint="eastAsia"/>
              </w:rPr>
              <w:t>☑</w:t>
            </w:r>
            <w:r>
              <w:rPr>
                <w:rFonts w:hint="eastAsia"/>
                <w:color w:val="000000"/>
                <w:szCs w:val="21"/>
              </w:rPr>
              <w:t xml:space="preserve">确定和应对能够影响产品和服务的符合性以及增强顾客满意能力的风险和机遇； </w:t>
            </w:r>
          </w:p>
          <w:p>
            <w:pPr>
              <w:rPr>
                <w:color w:val="000000"/>
                <w:szCs w:val="21"/>
              </w:rPr>
            </w:pPr>
            <w:r>
              <w:rPr>
                <w:rFonts w:hint="eastAsia"/>
              </w:rPr>
              <w:t>☑</w:t>
            </w:r>
            <w:r>
              <w:rPr>
                <w:rFonts w:hint="eastAsia"/>
                <w:color w:val="000000"/>
                <w:szCs w:val="21"/>
              </w:rPr>
              <w:t xml:space="preserve">始终致力于增强顾客满意。 </w:t>
            </w:r>
          </w:p>
          <w:p>
            <w:pPr>
              <w:rPr>
                <w:color w:val="000000"/>
                <w:szCs w:val="21"/>
              </w:rPr>
            </w:pPr>
            <w:r>
              <w:rPr>
                <w:rFonts w:hint="eastAsia"/>
              </w:rPr>
              <w:t>通过的方式——</w:t>
            </w:r>
          </w:p>
          <w:p>
            <w:pPr>
              <w:rPr>
                <w:color w:val="000000"/>
                <w:szCs w:val="21"/>
              </w:rPr>
            </w:pPr>
            <w:r>
              <w:rPr>
                <w:rFonts w:hint="eastAsia"/>
                <w:color w:val="000000"/>
                <w:szCs w:val="21"/>
              </w:rPr>
              <w:t xml:space="preserve"> </w:t>
            </w:r>
            <w:r>
              <w:rPr>
                <w:rFonts w:hint="eastAsia"/>
              </w:rPr>
              <w:t>☑以身作则 ☑建立机制 ☑法规宣传 ☑风险机遇的应对 ☑重视顾客反馈 ☑目标考核 □其他</w:t>
            </w:r>
          </w:p>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方针</w:t>
            </w:r>
          </w:p>
        </w:tc>
        <w:tc>
          <w:tcPr>
            <w:tcW w:w="960" w:type="dxa"/>
            <w:vMerge w:val="restart"/>
          </w:tcPr>
          <w:p>
            <w:r>
              <w:rPr>
                <w:rFonts w:hint="eastAsia"/>
              </w:rPr>
              <w:t>Q5.2  </w:t>
            </w:r>
          </w:p>
        </w:tc>
        <w:tc>
          <w:tcPr>
            <w:tcW w:w="745" w:type="dxa"/>
          </w:tcPr>
          <w:p>
            <w:r>
              <w:rPr>
                <w:rFonts w:hint="eastAsia"/>
              </w:rPr>
              <w:t>文件名称</w:t>
            </w:r>
          </w:p>
        </w:tc>
        <w:tc>
          <w:tcPr>
            <w:tcW w:w="9426" w:type="dxa"/>
          </w:tcPr>
          <w:p>
            <w:r>
              <w:rPr>
                <w:rFonts w:hint="eastAsia"/>
              </w:rPr>
              <w:t>如：☑管理手册第5.2章 ☑质量方针</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rPr>
                <w:u w:val="single"/>
              </w:rPr>
            </w:pPr>
            <w:r>
              <w:rPr>
                <w:rFonts w:hint="eastAsia"/>
                <w:color w:val="000000"/>
                <w:szCs w:val="21"/>
              </w:rPr>
              <w:t xml:space="preserve"> </w:t>
            </w:r>
            <w:r>
              <w:rPr>
                <w:rFonts w:hint="eastAsia"/>
              </w:rPr>
              <w:t>最高管理者制定了文件化的管理体系方针：</w:t>
            </w:r>
          </w:p>
          <w:p>
            <w:pPr>
              <w:ind w:left="480"/>
              <w:rPr>
                <w:u w:val="single"/>
              </w:rPr>
            </w:pPr>
            <w:r>
              <w:rPr>
                <w:rFonts w:hint="eastAsia"/>
                <w:u w:val="single"/>
              </w:rPr>
              <w:t xml:space="preserve">从源头把关，全过程预防，有效沟通，保护环境、预防第一、诚信守法、安全第一、持续改进、永续经营   </w:t>
            </w:r>
          </w:p>
          <w:p>
            <w:r>
              <w:rPr>
                <w:rFonts w:hint="eastAsia"/>
              </w:rPr>
              <w:t>☑适应组织的宗旨和环境并支持其战略方向</w:t>
            </w:r>
          </w:p>
          <w:p>
            <w:pPr>
              <w:rPr>
                <w:lang w:val="en-GB"/>
              </w:rPr>
            </w:pPr>
            <w:r>
              <w:rPr>
                <w:rFonts w:hint="eastAsia"/>
              </w:rPr>
              <w:t>☑</w:t>
            </w:r>
            <w:r>
              <w:rPr>
                <w:rFonts w:hint="eastAsia"/>
                <w:lang w:val="en-GB"/>
              </w:rPr>
              <w:t>质量方针合理恰当并为相应的质量目标提供了框架。</w:t>
            </w:r>
          </w:p>
          <w:p>
            <w:r>
              <w:rPr>
                <w:rFonts w:hint="eastAsia"/>
              </w:rPr>
              <w:t xml:space="preserve">☑包括满足适用要求的承诺； </w:t>
            </w:r>
          </w:p>
          <w:p>
            <w:pPr>
              <w:rPr>
                <w:lang w:val="en-GB"/>
              </w:rPr>
            </w:pPr>
            <w:r>
              <w:rPr>
                <w:rFonts w:hint="eastAsia"/>
              </w:rPr>
              <w:t>☑包括持续改进质量管理体系的承诺</w:t>
            </w:r>
          </w:p>
          <w:p/>
          <w:p>
            <w:r>
              <w:rPr>
                <w:rFonts w:hint="eastAsia"/>
              </w:rPr>
              <w:t>☑在组织内得到沟通、理解和应用，通过：</w:t>
            </w:r>
            <w:r>
              <w:rPr>
                <w:rFonts w:hint="eastAsia"/>
              </w:rPr>
              <w:sym w:font="Wingdings" w:char="00FE"/>
            </w:r>
            <w:r>
              <w:rPr>
                <w:rFonts w:hint="eastAsia"/>
              </w:rPr>
              <w:t xml:space="preserve">展板  </w:t>
            </w:r>
            <w:r>
              <w:rPr>
                <w:rFonts w:hint="eastAsia"/>
              </w:rPr>
              <w:sym w:font="Wingdings" w:char="00FE"/>
            </w:r>
            <w:r>
              <w:rPr>
                <w:rFonts w:hint="eastAsia"/>
              </w:rPr>
              <w:t xml:space="preserve">标语  </w:t>
            </w:r>
            <w:r>
              <w:rPr>
                <w:rFonts w:hint="eastAsia"/>
              </w:rPr>
              <w:sym w:font="Wingdings" w:char="00FE"/>
            </w:r>
            <w:r>
              <w:rPr>
                <w:rFonts w:hint="eastAsia"/>
              </w:rPr>
              <w:t xml:space="preserve">会议  </w:t>
            </w:r>
            <w:r>
              <w:rPr>
                <w:rFonts w:hint="eastAsia"/>
              </w:rPr>
              <w:sym w:font="Wingdings" w:char="00FE"/>
            </w:r>
            <w:r>
              <w:rPr>
                <w:rFonts w:hint="eastAsia"/>
              </w:rPr>
              <w:t xml:space="preserve">文件发放   </w:t>
            </w:r>
            <w:r>
              <w:rPr>
                <w:rFonts w:hint="eastAsia"/>
              </w:rPr>
              <w:sym w:font="Wingdings" w:char="00A8"/>
            </w:r>
            <w:r>
              <w:rPr>
                <w:rFonts w:hint="eastAsia"/>
              </w:rPr>
              <w:t xml:space="preserve">其他  </w:t>
            </w:r>
          </w:p>
          <w:p>
            <w:r>
              <w:rPr>
                <w:rFonts w:hint="eastAsia"/>
              </w:rPr>
              <w:t>☑在相关方有需要时提供。通过：</w:t>
            </w:r>
            <w:r>
              <w:rPr>
                <w:rFonts w:hint="eastAsia"/>
              </w:rPr>
              <w:sym w:font="Wingdings" w:char="00FE"/>
            </w:r>
            <w:r>
              <w:rPr>
                <w:rFonts w:hint="eastAsia"/>
              </w:rPr>
              <w:t xml:space="preserve">网站 </w:t>
            </w:r>
            <w:r>
              <w:rPr>
                <w:rFonts w:hint="eastAsia"/>
              </w:rPr>
              <w:sym w:font="Wingdings" w:char="00FE"/>
            </w:r>
            <w:r>
              <w:rPr>
                <w:rFonts w:hint="eastAsia"/>
              </w:rPr>
              <w:t xml:space="preserve">宣传册 </w:t>
            </w:r>
            <w:r>
              <w:rPr>
                <w:rFonts w:hint="eastAsia"/>
              </w:rPr>
              <w:sym w:font="Wingdings" w:char="00A8"/>
            </w:r>
            <w:r>
              <w:rPr>
                <w:rFonts w:hint="eastAsia"/>
              </w:rPr>
              <w:t>其他</w:t>
            </w:r>
          </w:p>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组织的岗位、职责和权限</w:t>
            </w:r>
          </w:p>
          <w:p/>
        </w:tc>
        <w:tc>
          <w:tcPr>
            <w:tcW w:w="960" w:type="dxa"/>
            <w:vMerge w:val="restart"/>
          </w:tcPr>
          <w:p>
            <w:r>
              <w:rPr>
                <w:rFonts w:hint="eastAsia"/>
              </w:rPr>
              <w:t>Q5.3  </w:t>
            </w:r>
          </w:p>
        </w:tc>
        <w:tc>
          <w:tcPr>
            <w:tcW w:w="745" w:type="dxa"/>
          </w:tcPr>
          <w:p>
            <w:r>
              <w:rPr>
                <w:rFonts w:hint="eastAsia"/>
              </w:rPr>
              <w:t>文件名称</w:t>
            </w:r>
          </w:p>
        </w:tc>
        <w:tc>
          <w:tcPr>
            <w:tcW w:w="9426" w:type="dxa"/>
          </w:tcPr>
          <w:p>
            <w:pPr>
              <w:jc w:val="left"/>
            </w:pPr>
            <w:r>
              <w:rPr>
                <w:rFonts w:hint="eastAsia"/>
              </w:rPr>
              <w:t>如：☑管理手册第5.3章，☑《</w:t>
            </w:r>
            <w:r>
              <w:rPr>
                <w:rFonts w:hint="eastAsia"/>
                <w:szCs w:val="22"/>
              </w:rPr>
              <w:t>岗位职责和任职要求</w:t>
            </w:r>
            <w:r>
              <w:rPr>
                <w:rFonts w:hint="eastAsia"/>
              </w:rPr>
              <w:t>》</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r>
              <w:rPr>
                <w:rFonts w:hint="eastAsia"/>
              </w:rPr>
              <w:t>最高管理者确定了组织架构及相关岗位的职责、权限，并进行了全员的沟通和理解；</w:t>
            </w:r>
          </w:p>
          <w:p>
            <w:r>
              <w:rPr>
                <w:rFonts w:hint="eastAsia"/>
              </w:rPr>
              <w:t>如：</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过程名称</w:t>
                  </w:r>
                </w:p>
              </w:tc>
              <w:tc>
                <w:tcPr>
                  <w:tcW w:w="2261" w:type="dxa"/>
                </w:tcPr>
                <w:p>
                  <w:r>
                    <w:rPr>
                      <w:rFonts w:hint="eastAsia"/>
                    </w:rPr>
                    <w:t>主管部门名称</w:t>
                  </w:r>
                </w:p>
              </w:tc>
              <w:tc>
                <w:tcPr>
                  <w:tcW w:w="2261" w:type="dxa"/>
                </w:tcPr>
                <w:p>
                  <w:r>
                    <w:rPr>
                      <w:rFonts w:hint="eastAsia"/>
                    </w:rPr>
                    <w:t>过程名称</w:t>
                  </w:r>
                </w:p>
              </w:tc>
              <w:tc>
                <w:tcPr>
                  <w:tcW w:w="2261" w:type="dxa"/>
                </w:tcPr>
                <w:p>
                  <w:r>
                    <w:rPr>
                      <w:rFonts w:hint="eastAsia"/>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检验过程</w:t>
                  </w:r>
                </w:p>
              </w:tc>
              <w:tc>
                <w:tcPr>
                  <w:tcW w:w="2261" w:type="dxa"/>
                </w:tcPr>
                <w:p>
                  <w:r>
                    <w:rPr>
                      <w:rFonts w:hint="eastAsia"/>
                    </w:rPr>
                    <w:t>质检部</w:t>
                  </w:r>
                </w:p>
              </w:tc>
              <w:tc>
                <w:tcPr>
                  <w:tcW w:w="2261" w:type="dxa"/>
                </w:tcPr>
                <w:p>
                  <w:r>
                    <w:rPr>
                      <w:rFonts w:hint="eastAsia"/>
                    </w:rPr>
                    <w:t>人力资源管理过程</w:t>
                  </w:r>
                </w:p>
              </w:tc>
              <w:tc>
                <w:tcPr>
                  <w:tcW w:w="2261" w:type="dxa"/>
                </w:tcPr>
                <w:p>
                  <w:r>
                    <w:rPr>
                      <w:rFonts w:hint="eastAsia"/>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顾客满意调查分析</w:t>
                  </w:r>
                </w:p>
              </w:tc>
              <w:tc>
                <w:tcPr>
                  <w:tcW w:w="2261" w:type="dxa"/>
                </w:tcPr>
                <w:p>
                  <w:r>
                    <w:rPr>
                      <w:rFonts w:hint="eastAsia"/>
                    </w:rPr>
                    <w:t>供销部</w:t>
                  </w:r>
                </w:p>
              </w:tc>
              <w:tc>
                <w:tcPr>
                  <w:tcW w:w="2261" w:type="dxa"/>
                </w:tcPr>
                <w:p>
                  <w:r>
                    <w:rPr>
                      <w:rFonts w:hint="eastAsia"/>
                    </w:rPr>
                    <w:t>配送/服务提供过程</w:t>
                  </w:r>
                </w:p>
              </w:tc>
              <w:tc>
                <w:tcPr>
                  <w:tcW w:w="2261" w:type="dxa"/>
                </w:tcPr>
                <w:p>
                  <w:r>
                    <w:rPr>
                      <w:rFonts w:hint="eastAsia"/>
                    </w:rPr>
                    <w:t>配送部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外部供方控制</w:t>
                  </w:r>
                </w:p>
              </w:tc>
              <w:tc>
                <w:tcPr>
                  <w:tcW w:w="2261" w:type="dxa"/>
                </w:tcPr>
                <w:p>
                  <w:r>
                    <w:rPr>
                      <w:rFonts w:hint="eastAsia"/>
                    </w:rPr>
                    <w:t>供销部</w:t>
                  </w:r>
                </w:p>
              </w:tc>
              <w:tc>
                <w:tcPr>
                  <w:tcW w:w="2261" w:type="dxa"/>
                </w:tcPr>
                <w:p>
                  <w:r>
                    <w:rPr>
                      <w:rFonts w:hint="eastAsia"/>
                    </w:rPr>
                    <w:t>配送/服务放行过程</w:t>
                  </w:r>
                </w:p>
              </w:tc>
              <w:tc>
                <w:tcPr>
                  <w:tcW w:w="2261" w:type="dxa"/>
                </w:tcPr>
                <w:p>
                  <w:r>
                    <w:rPr>
                      <w:rFonts w:hint="eastAsia"/>
                    </w:rPr>
                    <w:t>质检部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tc>
              <w:tc>
                <w:tcPr>
                  <w:tcW w:w="2261" w:type="dxa"/>
                </w:tcPr>
                <w:p/>
              </w:tc>
              <w:tc>
                <w:tcPr>
                  <w:tcW w:w="2261" w:type="dxa"/>
                </w:tcPr>
                <w:p/>
              </w:tc>
              <w:tc>
                <w:tcPr>
                  <w:tcW w:w="2261" w:type="dxa"/>
                </w:tcPr>
                <w:p/>
              </w:tc>
            </w:tr>
          </w:tbl>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应对风险和机遇的措施</w:t>
            </w:r>
          </w:p>
          <w:p/>
        </w:tc>
        <w:tc>
          <w:tcPr>
            <w:tcW w:w="960" w:type="dxa"/>
            <w:vMerge w:val="restart"/>
          </w:tcPr>
          <w:p>
            <w:r>
              <w:rPr>
                <w:rFonts w:hint="eastAsia"/>
                <w:color w:val="000000"/>
                <w:szCs w:val="21"/>
              </w:rPr>
              <w:t>Q6.1  </w:t>
            </w:r>
          </w:p>
        </w:tc>
        <w:tc>
          <w:tcPr>
            <w:tcW w:w="745" w:type="dxa"/>
          </w:tcPr>
          <w:p>
            <w:r>
              <w:rPr>
                <w:rFonts w:hint="eastAsia"/>
              </w:rPr>
              <w:t>文件名称</w:t>
            </w:r>
          </w:p>
        </w:tc>
        <w:tc>
          <w:tcPr>
            <w:tcW w:w="9426" w:type="dxa"/>
          </w:tcPr>
          <w:p>
            <w:r>
              <w:rPr>
                <w:rFonts w:hint="eastAsia"/>
              </w:rPr>
              <w:t>如：</w:t>
            </w:r>
            <w:r>
              <w:rPr>
                <w:rFonts w:hint="eastAsia"/>
              </w:rPr>
              <w:sym w:font="Wingdings" w:char="00FE"/>
            </w:r>
            <w:r>
              <w:rPr>
                <w:rFonts w:hint="eastAsia"/>
              </w:rPr>
              <w:t>《</w:t>
            </w:r>
            <w:r>
              <w:rPr>
                <w:rFonts w:hint="eastAsia"/>
                <w:color w:val="000000"/>
                <w:szCs w:val="21"/>
              </w:rPr>
              <w:t>风险和机遇</w:t>
            </w:r>
            <w:r>
              <w:rPr>
                <w:rFonts w:hint="eastAsia"/>
              </w:rPr>
              <w:t>控制程序》、</w:t>
            </w:r>
            <w:r>
              <w:rPr>
                <w:rFonts w:hint="eastAsia"/>
              </w:rPr>
              <w:sym w:font="Wingdings" w:char="00FE"/>
            </w:r>
            <w:r>
              <w:rPr>
                <w:rFonts w:hint="eastAsia"/>
              </w:rPr>
              <w:t>管理手册第6.1条款</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r>
              <w:rPr>
                <w:rFonts w:hint="eastAsia"/>
              </w:rPr>
              <w:t>分析风险的方法：</w:t>
            </w:r>
            <w:r>
              <w:rPr>
                <w:rFonts w:hint="eastAsia"/>
              </w:rPr>
              <w:sym w:font="Wingdings" w:char="00A8"/>
            </w:r>
            <w:r>
              <w:rPr>
                <w:rFonts w:hint="eastAsia"/>
              </w:rPr>
              <w:t xml:space="preserve">头脑风暴法 </w:t>
            </w:r>
            <w:r>
              <w:rPr>
                <w:rFonts w:hint="eastAsia"/>
              </w:rPr>
              <w:sym w:font="Wingdings" w:char="00A8"/>
            </w:r>
            <w:r>
              <w:rPr>
                <w:rFonts w:hint="eastAsia"/>
              </w:rPr>
              <w:t>FMEA（潜在失效模式分析）</w:t>
            </w:r>
            <w:r>
              <w:rPr>
                <w:rFonts w:hint="eastAsia"/>
              </w:rPr>
              <w:sym w:font="Wingdings" w:char="00FE"/>
            </w:r>
            <w:r>
              <w:rPr>
                <w:rFonts w:hint="eastAsia"/>
              </w:rPr>
              <w:t>其他</w:t>
            </w:r>
          </w:p>
          <w:p/>
          <w:p>
            <w:r>
              <w:rPr>
                <w:rFonts w:hint="eastAsia"/>
              </w:rPr>
              <w:t xml:space="preserve">应对风险的措施类型包括： </w:t>
            </w:r>
          </w:p>
          <w:p>
            <w:r>
              <w:rPr>
                <w:rFonts w:hint="eastAsia"/>
              </w:rPr>
              <w:sym w:font="Wingdings" w:char="00FE"/>
            </w:r>
            <w:r>
              <w:rPr>
                <w:rFonts w:hint="eastAsia"/>
              </w:rPr>
              <w:t xml:space="preserve">规避风险 </w:t>
            </w:r>
            <w:r>
              <w:rPr>
                <w:rFonts w:hint="eastAsia"/>
              </w:rPr>
              <w:sym w:font="Wingdings" w:char="00FE"/>
            </w:r>
            <w:r>
              <w:rPr>
                <w:rFonts w:hint="eastAsia"/>
              </w:rPr>
              <w:t>为寻求机遇承担风险、</w:t>
            </w:r>
            <w:r>
              <w:rPr>
                <w:rFonts w:hint="eastAsia"/>
              </w:rPr>
              <w:sym w:font="Wingdings" w:char="00FE"/>
            </w:r>
            <w:r>
              <w:rPr>
                <w:rFonts w:hint="eastAsia"/>
              </w:rPr>
              <w:t xml:space="preserve">消除风险源 </w:t>
            </w:r>
            <w:r>
              <w:rPr>
                <w:rFonts w:hint="eastAsia"/>
              </w:rPr>
              <w:sym w:font="Wingdings" w:char="00FE"/>
            </w:r>
            <w:r>
              <w:rPr>
                <w:rFonts w:hint="eastAsia"/>
              </w:rPr>
              <w:t>改变风险的可能性和后果、</w:t>
            </w:r>
            <w:r>
              <w:rPr>
                <w:rFonts w:hint="eastAsia"/>
              </w:rPr>
              <w:sym w:font="Wingdings" w:char="00FE"/>
            </w:r>
            <w:r>
              <w:rPr>
                <w:rFonts w:hint="eastAsia"/>
              </w:rPr>
              <w:t xml:space="preserve">分担风险 </w:t>
            </w:r>
            <w:r>
              <w:rPr>
                <w:rFonts w:hint="eastAsia"/>
              </w:rPr>
              <w:sym w:font="Wingdings" w:char="00FE"/>
            </w:r>
            <w:r>
              <w:rPr>
                <w:rFonts w:hint="eastAsia"/>
              </w:rPr>
              <w:t xml:space="preserve">通过信息充分的决策而保留风险 </w:t>
            </w:r>
            <w:r>
              <w:rPr>
                <w:rFonts w:hint="eastAsia"/>
              </w:rPr>
              <w:sym w:font="Wingdings" w:char="00A8"/>
            </w:r>
            <w:r>
              <w:rPr>
                <w:rFonts w:hint="eastAsia"/>
              </w:rPr>
              <w:t>其他</w:t>
            </w:r>
          </w:p>
          <w:p/>
          <w:p>
            <w:r>
              <w:rPr>
                <w:rFonts w:hint="eastAsia"/>
              </w:rPr>
              <w:t xml:space="preserve">列举2~3项应对主要风险的描述：         </w:t>
            </w:r>
          </w:p>
          <w:p/>
          <w:tbl>
            <w:tblPr>
              <w:tblStyle w:val="7"/>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1"/>
              <w:gridCol w:w="3500"/>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1" w:type="dxa"/>
                </w:tcPr>
                <w:p>
                  <w:pPr>
                    <w:rPr>
                      <w:color w:val="000000" w:themeColor="text1"/>
                    </w:rPr>
                  </w:pPr>
                  <w:r>
                    <w:rPr>
                      <w:rFonts w:hint="eastAsia"/>
                      <w:color w:val="000000" w:themeColor="text1"/>
                    </w:rPr>
                    <w:t>主要的风险描述</w:t>
                  </w:r>
                </w:p>
              </w:tc>
              <w:tc>
                <w:tcPr>
                  <w:tcW w:w="3500" w:type="dxa"/>
                </w:tcPr>
                <w:p>
                  <w:pPr>
                    <w:rPr>
                      <w:color w:val="000000" w:themeColor="text1"/>
                      <w:szCs w:val="24"/>
                    </w:rPr>
                  </w:pPr>
                  <w:r>
                    <w:rPr>
                      <w:rFonts w:hint="eastAsia"/>
                      <w:color w:val="000000" w:themeColor="text1"/>
                    </w:rPr>
                    <w:t>应对措施</w:t>
                  </w:r>
                </w:p>
              </w:tc>
              <w:tc>
                <w:tcPr>
                  <w:tcW w:w="963" w:type="dxa"/>
                </w:tcPr>
                <w:p>
                  <w:pPr>
                    <w:rPr>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1" w:type="dxa"/>
                </w:tcPr>
                <w:p>
                  <w:pPr>
                    <w:rPr>
                      <w:color w:val="000000" w:themeColor="text1"/>
                    </w:rPr>
                  </w:pPr>
                  <w:r>
                    <w:rPr>
                      <w:rFonts w:hint="eastAsia" w:ascii="宋体" w:hAnsi="宋体" w:cs="宋体"/>
                      <w:szCs w:val="21"/>
                      <w:lang w:eastAsia="zh-CN"/>
                    </w:rPr>
                    <w:t>配送部</w:t>
                  </w:r>
                  <w:r>
                    <w:rPr>
                      <w:rFonts w:hint="eastAsia" w:ascii="宋体" w:hAnsi="宋体" w:cs="宋体"/>
                      <w:szCs w:val="21"/>
                    </w:rPr>
                    <w:t>业是一个技术含量相对较低的行业，但是它需要严格的管理才能赢得消费者的信赖，对于大多数</w:t>
                  </w:r>
                  <w:r>
                    <w:rPr>
                      <w:rFonts w:hint="eastAsia" w:ascii="宋体" w:hAnsi="宋体" w:cs="宋体"/>
                      <w:szCs w:val="21"/>
                      <w:lang w:eastAsia="zh-CN"/>
                    </w:rPr>
                    <w:t>食堂</w:t>
                  </w:r>
                  <w:r>
                    <w:rPr>
                      <w:rFonts w:hint="eastAsia" w:ascii="宋体" w:hAnsi="宋体" w:cs="宋体"/>
                      <w:szCs w:val="21"/>
                    </w:rPr>
                    <w:t>来说大部分存在着内部管理松散，服务人员素质较低。</w:t>
                  </w:r>
                </w:p>
              </w:tc>
              <w:tc>
                <w:tcPr>
                  <w:tcW w:w="3500" w:type="dxa"/>
                </w:tcPr>
                <w:p>
                  <w:pPr>
                    <w:rPr>
                      <w:color w:val="000000" w:themeColor="text1"/>
                    </w:rPr>
                  </w:pPr>
                  <w:r>
                    <w:rPr>
                      <w:rFonts w:hint="eastAsia" w:ascii="宋体" w:hAnsi="宋体" w:cs="宋体"/>
                      <w:szCs w:val="21"/>
                    </w:rPr>
                    <w:t>通过体系运行，建立规范的</w:t>
                  </w:r>
                  <w:r>
                    <w:rPr>
                      <w:rFonts w:hint="eastAsia" w:ascii="宋体" w:hAnsi="宋体" w:cs="宋体"/>
                      <w:szCs w:val="21"/>
                      <w:lang w:eastAsia="zh-CN"/>
                    </w:rPr>
                    <w:t>配送部</w:t>
                  </w:r>
                  <w:r>
                    <w:rPr>
                      <w:rFonts w:hint="eastAsia" w:ascii="宋体" w:hAnsi="宋体" w:cs="宋体"/>
                      <w:szCs w:val="21"/>
                    </w:rPr>
                    <w:t>制度，健全企业经营机制强化企业内部管理。</w:t>
                  </w:r>
                </w:p>
              </w:tc>
              <w:tc>
                <w:tcPr>
                  <w:tcW w:w="963" w:type="dxa"/>
                </w:tcPr>
                <w:p>
                  <w:pPr>
                    <w:rPr>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31" w:type="dxa"/>
                </w:tcPr>
                <w:p>
                  <w:pPr>
                    <w:snapToGrid w:val="0"/>
                    <w:spacing w:line="360" w:lineRule="exact"/>
                    <w:rPr>
                      <w:rFonts w:hint="eastAsia" w:ascii="宋体" w:hAnsi="宋体" w:cs="宋体"/>
                      <w:szCs w:val="21"/>
                    </w:rPr>
                  </w:pPr>
                  <w:r>
                    <w:rPr>
                      <w:rFonts w:hint="eastAsia" w:ascii="宋体" w:hAnsi="宋体" w:cs="宋体"/>
                      <w:szCs w:val="21"/>
                    </w:rPr>
                    <w:t>1、消费者对</w:t>
                  </w:r>
                  <w:r>
                    <w:rPr>
                      <w:rFonts w:hint="eastAsia" w:ascii="宋体" w:hAnsi="宋体" w:cs="宋体"/>
                      <w:szCs w:val="21"/>
                      <w:lang w:eastAsia="zh-CN"/>
                    </w:rPr>
                    <w:t>配送</w:t>
                  </w:r>
                  <w:r>
                    <w:rPr>
                      <w:rFonts w:hint="eastAsia" w:ascii="宋体" w:hAnsi="宋体" w:cs="宋体"/>
                      <w:szCs w:val="21"/>
                      <w:lang w:val="en-US" w:eastAsia="zh-CN"/>
                    </w:rPr>
                    <w:t>菜品</w:t>
                  </w:r>
                  <w:r>
                    <w:rPr>
                      <w:rFonts w:hint="eastAsia" w:ascii="宋体" w:hAnsi="宋体" w:cs="宋体"/>
                      <w:szCs w:val="21"/>
                    </w:rPr>
                    <w:t>的</w:t>
                  </w:r>
                  <w:r>
                    <w:rPr>
                      <w:rFonts w:hint="eastAsia" w:ascii="宋体" w:hAnsi="宋体" w:cs="宋体"/>
                      <w:szCs w:val="21"/>
                      <w:lang w:val="en-US" w:eastAsia="zh-CN"/>
                    </w:rPr>
                    <w:t>及时性</w:t>
                  </w:r>
                  <w:r>
                    <w:rPr>
                      <w:rFonts w:hint="eastAsia" w:ascii="宋体" w:hAnsi="宋体" w:cs="宋体"/>
                      <w:szCs w:val="21"/>
                    </w:rPr>
                    <w:t>、</w:t>
                  </w:r>
                  <w:r>
                    <w:rPr>
                      <w:rFonts w:hint="eastAsia" w:ascii="宋体" w:hAnsi="宋体" w:cs="宋体"/>
                      <w:szCs w:val="21"/>
                      <w:lang w:val="en-US" w:eastAsia="zh-CN"/>
                    </w:rPr>
                    <w:t>安全性</w:t>
                  </w:r>
                  <w:r>
                    <w:rPr>
                      <w:rFonts w:hint="eastAsia" w:ascii="宋体" w:hAnsi="宋体" w:cs="宋体"/>
                      <w:szCs w:val="21"/>
                    </w:rPr>
                    <w:t>、</w:t>
                  </w:r>
                  <w:r>
                    <w:rPr>
                      <w:rFonts w:hint="eastAsia" w:ascii="宋体" w:hAnsi="宋体" w:cs="宋体"/>
                      <w:szCs w:val="21"/>
                      <w:lang w:val="en-US" w:eastAsia="zh-CN"/>
                    </w:rPr>
                    <w:t>环保性</w:t>
                  </w:r>
                  <w:r>
                    <w:rPr>
                      <w:rFonts w:hint="eastAsia" w:ascii="宋体" w:hAnsi="宋体" w:cs="宋体"/>
                      <w:szCs w:val="21"/>
                    </w:rPr>
                    <w:t>、花样机用餐环境等的要求不断提高；</w:t>
                  </w:r>
                </w:p>
                <w:p>
                  <w:pPr>
                    <w:snapToGrid w:val="0"/>
                    <w:spacing w:line="360" w:lineRule="exact"/>
                    <w:rPr>
                      <w:rFonts w:hint="eastAsia" w:ascii="宋体" w:hAnsi="宋体" w:cs="宋体"/>
                      <w:szCs w:val="21"/>
                    </w:rPr>
                  </w:pPr>
                  <w:r>
                    <w:rPr>
                      <w:rFonts w:hint="eastAsia" w:ascii="宋体" w:hAnsi="宋体" w:cs="宋体"/>
                      <w:szCs w:val="21"/>
                    </w:rPr>
                    <w:t>2、国家对食品安全的监管力度大，有食品安全风险。</w:t>
                  </w:r>
                </w:p>
                <w:p>
                  <w:pPr>
                    <w:snapToGrid w:val="0"/>
                    <w:spacing w:line="360" w:lineRule="exact"/>
                    <w:rPr>
                      <w:rFonts w:hint="eastAsia" w:ascii="宋体" w:hAnsi="宋体" w:cs="宋体"/>
                      <w:szCs w:val="21"/>
                    </w:rPr>
                  </w:pPr>
                  <w:r>
                    <w:rPr>
                      <w:rFonts w:hint="eastAsia" w:ascii="宋体" w:hAnsi="宋体" w:cs="宋体"/>
                      <w:szCs w:val="21"/>
                    </w:rPr>
                    <w:t>3、企业管理者不了解行业法律、国家政策，造成企业经营合规性风险；</w:t>
                  </w:r>
                </w:p>
                <w:p>
                  <w:pPr>
                    <w:rPr>
                      <w:color w:val="000000" w:themeColor="text1"/>
                      <w:szCs w:val="24"/>
                    </w:rPr>
                  </w:pPr>
                  <w:r>
                    <w:rPr>
                      <w:rFonts w:hint="eastAsia" w:ascii="宋体" w:hAnsi="宋体" w:cs="宋体"/>
                      <w:szCs w:val="21"/>
                    </w:rPr>
                    <w:t>4、领导对管理体系不重视，没有履行足够的承诺。</w:t>
                  </w:r>
                </w:p>
              </w:tc>
              <w:tc>
                <w:tcPr>
                  <w:tcW w:w="3500" w:type="dxa"/>
                </w:tcPr>
                <w:p>
                  <w:pPr>
                    <w:snapToGrid w:val="0"/>
                    <w:spacing w:line="360" w:lineRule="exact"/>
                    <w:jc w:val="left"/>
                    <w:rPr>
                      <w:rFonts w:hint="eastAsia" w:ascii="宋体" w:hAnsi="宋体" w:cs="宋体"/>
                      <w:szCs w:val="21"/>
                    </w:rPr>
                  </w:pPr>
                  <w:r>
                    <w:rPr>
                      <w:rFonts w:hint="eastAsia" w:ascii="宋体" w:hAnsi="宋体" w:cs="宋体"/>
                      <w:szCs w:val="21"/>
                    </w:rPr>
                    <w:t>1、严格控制食品材料的质量卫生</w:t>
                  </w:r>
                </w:p>
                <w:p>
                  <w:pPr>
                    <w:snapToGrid w:val="0"/>
                    <w:spacing w:line="360" w:lineRule="exact"/>
                    <w:jc w:val="left"/>
                    <w:rPr>
                      <w:rFonts w:hint="eastAsia" w:ascii="宋体" w:hAnsi="宋体" w:cs="宋体"/>
                      <w:szCs w:val="21"/>
                    </w:rPr>
                  </w:pPr>
                  <w:r>
                    <w:rPr>
                      <w:rFonts w:hint="eastAsia" w:ascii="宋体" w:hAnsi="宋体" w:cs="宋体"/>
                      <w:szCs w:val="21"/>
                    </w:rPr>
                    <w:t>2、认真履行质量、环境、食品安全法律法规。做好环境保护及员工健康安全，保证食品安全；</w:t>
                  </w:r>
                </w:p>
                <w:p>
                  <w:pPr>
                    <w:snapToGrid w:val="0"/>
                    <w:spacing w:line="360" w:lineRule="exact"/>
                    <w:jc w:val="left"/>
                    <w:rPr>
                      <w:rFonts w:hint="eastAsia" w:ascii="宋体" w:hAnsi="宋体" w:cs="宋体"/>
                      <w:szCs w:val="21"/>
                    </w:rPr>
                  </w:pPr>
                  <w:r>
                    <w:rPr>
                      <w:rFonts w:hint="eastAsia" w:ascii="宋体" w:hAnsi="宋体" w:cs="宋体"/>
                      <w:szCs w:val="21"/>
                    </w:rPr>
                    <w:t>3、依托外部资源进行</w:t>
                  </w:r>
                  <w:r>
                    <w:rPr>
                      <w:rFonts w:hint="eastAsia" w:ascii="宋体" w:hAnsi="宋体" w:cs="宋体"/>
                      <w:szCs w:val="21"/>
                      <w:lang w:eastAsia="zh-CN"/>
                    </w:rPr>
                    <w:t>配送部</w:t>
                  </w:r>
                  <w:r>
                    <w:rPr>
                      <w:rFonts w:hint="eastAsia" w:ascii="宋体" w:hAnsi="宋体" w:cs="宋体"/>
                      <w:szCs w:val="21"/>
                    </w:rPr>
                    <w:t>提供；</w:t>
                  </w:r>
                </w:p>
                <w:p>
                  <w:pPr>
                    <w:rPr>
                      <w:color w:val="000000" w:themeColor="text1"/>
                      <w:szCs w:val="21"/>
                    </w:rPr>
                  </w:pPr>
                  <w:r>
                    <w:rPr>
                      <w:rFonts w:hint="eastAsia" w:ascii="宋体" w:hAnsi="宋体" w:cs="宋体"/>
                      <w:szCs w:val="21"/>
                    </w:rPr>
                    <w:t>4、重点体现总经理作用，确保总经理能够履行承诺。</w:t>
                  </w:r>
                  <w:r>
                    <w:rPr>
                      <w:rFonts w:hint="eastAsia" w:ascii="宋体" w:hAnsi="宋体" w:cs="宋体"/>
                      <w:color w:val="000000" w:themeColor="text1"/>
                      <w:kern w:val="0"/>
                      <w:szCs w:val="21"/>
                    </w:rPr>
                    <w:t xml:space="preserve">  </w:t>
                  </w:r>
                </w:p>
              </w:tc>
              <w:tc>
                <w:tcPr>
                  <w:tcW w:w="963" w:type="dxa"/>
                </w:tcPr>
                <w:p>
                  <w:pPr>
                    <w:rPr>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rPr>
                <w:rFonts w:hint="eastAsia"/>
              </w:rPr>
            </w:pPr>
          </w:p>
          <w:p>
            <w:pPr>
              <w:rPr>
                <w:color w:val="000000" w:themeColor="text1"/>
              </w:rPr>
            </w:pPr>
            <w:r>
              <w:rPr>
                <w:rFonts w:hint="eastAsia"/>
                <w:color w:val="000000" w:themeColor="text1"/>
              </w:rPr>
              <w:t xml:space="preserve">应对机遇的措施类型包括： </w:t>
            </w:r>
          </w:p>
          <w:p>
            <w:pPr>
              <w:rPr>
                <w:color w:val="000000" w:themeColor="text1"/>
              </w:rPr>
            </w:pPr>
            <w:r>
              <w:rPr>
                <w:rFonts w:hint="eastAsia"/>
                <w:color w:val="000000" w:themeColor="text1"/>
              </w:rPr>
              <w:sym w:font="Wingdings" w:char="00A8"/>
            </w:r>
            <w:r>
              <w:rPr>
                <w:rFonts w:hint="eastAsia"/>
                <w:color w:val="000000" w:themeColor="text1"/>
              </w:rPr>
              <w:t xml:space="preserve">采用新实践 </w:t>
            </w:r>
            <w:r>
              <w:rPr>
                <w:rFonts w:hint="eastAsia"/>
                <w:color w:val="000000" w:themeColor="text1"/>
              </w:rPr>
              <w:sym w:font="Wingdings" w:char="00A8"/>
            </w:r>
            <w:r>
              <w:rPr>
                <w:rFonts w:hint="eastAsia"/>
                <w:color w:val="000000" w:themeColor="text1"/>
              </w:rPr>
              <w:t xml:space="preserve">推出新产品  </w:t>
            </w:r>
            <w:r>
              <w:rPr>
                <w:rFonts w:hint="eastAsia"/>
                <w:color w:val="000000" w:themeColor="text1"/>
              </w:rPr>
              <w:sym w:font="Wingdings" w:char="00FE"/>
            </w:r>
            <w:r>
              <w:rPr>
                <w:rFonts w:hint="eastAsia"/>
                <w:color w:val="000000" w:themeColor="text1"/>
              </w:rPr>
              <w:t xml:space="preserve">开辟新市场  </w:t>
            </w:r>
            <w:r>
              <w:rPr>
                <w:rFonts w:hint="eastAsia"/>
                <w:color w:val="000000" w:themeColor="text1"/>
              </w:rPr>
              <w:sym w:font="Wingdings" w:char="00FE"/>
            </w:r>
            <w:r>
              <w:rPr>
                <w:rFonts w:hint="eastAsia"/>
                <w:color w:val="000000" w:themeColor="text1"/>
              </w:rPr>
              <w:t xml:space="preserve">赢得新顾客  </w:t>
            </w:r>
            <w:r>
              <w:rPr>
                <w:rFonts w:hint="eastAsia"/>
                <w:color w:val="000000" w:themeColor="text1"/>
              </w:rPr>
              <w:sym w:font="Wingdings" w:char="00FE"/>
            </w:r>
            <w:r>
              <w:rPr>
                <w:rFonts w:hint="eastAsia"/>
                <w:color w:val="000000" w:themeColor="text1"/>
              </w:rPr>
              <w:t xml:space="preserve">建立合作伙伴关系  </w:t>
            </w:r>
            <w:r>
              <w:rPr>
                <w:rFonts w:hint="eastAsia"/>
                <w:color w:val="000000" w:themeColor="text1"/>
              </w:rPr>
              <w:sym w:font="Wingdings" w:char="00A8"/>
            </w:r>
            <w:r>
              <w:rPr>
                <w:rFonts w:hint="eastAsia"/>
                <w:color w:val="000000" w:themeColor="text1"/>
              </w:rPr>
              <w:t xml:space="preserve">利用新技术  </w:t>
            </w:r>
            <w:r>
              <w:rPr>
                <w:rFonts w:hint="eastAsia"/>
                <w:color w:val="000000" w:themeColor="text1"/>
              </w:rPr>
              <w:sym w:font="Wingdings" w:char="00A8"/>
            </w:r>
            <w:r>
              <w:rPr>
                <w:rFonts w:hint="eastAsia"/>
                <w:color w:val="000000" w:themeColor="text1"/>
              </w:rPr>
              <w:t>其他</w:t>
            </w:r>
          </w:p>
          <w:p>
            <w:pPr>
              <w:rPr>
                <w:color w:val="000000" w:themeColor="text1"/>
              </w:rPr>
            </w:pPr>
            <w:r>
              <w:rPr>
                <w:rFonts w:hint="eastAsia"/>
                <w:color w:val="000000" w:themeColor="text1"/>
              </w:rPr>
              <w:t>列举2~3项应对重要机遇的描述：</w:t>
            </w:r>
          </w:p>
          <w:tbl>
            <w:tblPr>
              <w:tblStyle w:val="7"/>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5"/>
              <w:gridCol w:w="4837"/>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5" w:type="dxa"/>
                </w:tcPr>
                <w:p>
                  <w:pPr>
                    <w:rPr>
                      <w:color w:val="000000" w:themeColor="text1"/>
                    </w:rPr>
                  </w:pPr>
                  <w:r>
                    <w:rPr>
                      <w:rFonts w:hint="eastAsia"/>
                      <w:color w:val="000000" w:themeColor="text1"/>
                    </w:rPr>
                    <w:t>主要的机遇描述</w:t>
                  </w:r>
                </w:p>
              </w:tc>
              <w:tc>
                <w:tcPr>
                  <w:tcW w:w="4837" w:type="dxa"/>
                </w:tcPr>
                <w:p>
                  <w:pPr>
                    <w:rPr>
                      <w:color w:val="000000" w:themeColor="text1"/>
                      <w:szCs w:val="24"/>
                    </w:rPr>
                  </w:pPr>
                  <w:r>
                    <w:rPr>
                      <w:rFonts w:hint="eastAsia"/>
                      <w:color w:val="000000" w:themeColor="text1"/>
                    </w:rPr>
                    <w:t>应对措施</w:t>
                  </w:r>
                </w:p>
              </w:tc>
              <w:tc>
                <w:tcPr>
                  <w:tcW w:w="913" w:type="dxa"/>
                </w:tcPr>
                <w:p>
                  <w:pPr>
                    <w:rPr>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5" w:type="dxa"/>
                </w:tcPr>
                <w:p>
                  <w:pPr>
                    <w:snapToGrid w:val="0"/>
                    <w:spacing w:line="360" w:lineRule="exact"/>
                    <w:rPr>
                      <w:color w:val="000000" w:themeColor="text1"/>
                    </w:rPr>
                  </w:pPr>
                  <w:r>
                    <w:rPr>
                      <w:rFonts w:hint="eastAsia" w:ascii="宋体" w:hAnsi="宋体" w:cs="宋体"/>
                      <w:szCs w:val="21"/>
                      <w:lang w:val="en-US" w:eastAsia="zh-CN"/>
                    </w:rPr>
                    <w:t>配送</w:t>
                  </w:r>
                  <w:r>
                    <w:rPr>
                      <w:rFonts w:hint="eastAsia" w:ascii="宋体" w:hAnsi="宋体" w:cs="宋体"/>
                      <w:szCs w:val="21"/>
                    </w:rPr>
                    <w:t>运营已经步入稳定良好的状态，专业为</w:t>
                  </w:r>
                  <w:r>
                    <w:rPr>
                      <w:rFonts w:hint="eastAsia" w:ascii="宋体" w:hAnsi="宋体" w:cs="宋体"/>
                      <w:szCs w:val="21"/>
                      <w:lang w:val="en-US" w:eastAsia="zh-CN"/>
                    </w:rPr>
                    <w:t>事业单位</w:t>
                  </w:r>
                  <w:r>
                    <w:rPr>
                      <w:rFonts w:hint="eastAsia" w:ascii="宋体" w:hAnsi="宋体" w:cs="宋体"/>
                      <w:szCs w:val="21"/>
                    </w:rPr>
                    <w:t>的教职工提供</w:t>
                  </w:r>
                  <w:r>
                    <w:rPr>
                      <w:rFonts w:hint="eastAsia" w:ascii="宋体" w:hAnsi="宋体" w:cs="宋体"/>
                      <w:szCs w:val="21"/>
                      <w:lang w:val="en-US" w:eastAsia="zh-CN"/>
                    </w:rPr>
                    <w:t>配送服务</w:t>
                  </w:r>
                  <w:r>
                    <w:rPr>
                      <w:rFonts w:hint="eastAsia" w:ascii="宋体" w:hAnsi="宋体" w:cs="宋体"/>
                      <w:szCs w:val="21"/>
                    </w:rPr>
                    <w:t>，依托</w:t>
                  </w:r>
                  <w:r>
                    <w:rPr>
                      <w:rFonts w:hint="eastAsia" w:ascii="宋体" w:hAnsi="宋体" w:cs="宋体"/>
                      <w:szCs w:val="21"/>
                      <w:lang w:val="en-US" w:eastAsia="zh-CN"/>
                    </w:rPr>
                    <w:t>周边学校的需求资源</w:t>
                  </w:r>
                  <w:r>
                    <w:rPr>
                      <w:rFonts w:hint="eastAsia" w:ascii="宋体" w:hAnsi="宋体" w:cs="宋体"/>
                      <w:szCs w:val="21"/>
                    </w:rPr>
                    <w:t>。</w:t>
                  </w:r>
                </w:p>
              </w:tc>
              <w:tc>
                <w:tcPr>
                  <w:tcW w:w="4837" w:type="dxa"/>
                </w:tcPr>
                <w:p>
                  <w:pPr>
                    <w:snapToGrid w:val="0"/>
                    <w:spacing w:line="360" w:lineRule="exact"/>
                    <w:jc w:val="left"/>
                    <w:rPr>
                      <w:rFonts w:hint="eastAsia" w:ascii="宋体" w:hAnsi="宋体" w:cs="宋体"/>
                      <w:szCs w:val="21"/>
                    </w:rPr>
                  </w:pPr>
                  <w:r>
                    <w:rPr>
                      <w:rFonts w:hint="eastAsia" w:ascii="宋体" w:hAnsi="宋体" w:cs="宋体"/>
                      <w:szCs w:val="21"/>
                    </w:rPr>
                    <w:t>1、严格控制食品材料的质量卫生</w:t>
                  </w:r>
                </w:p>
                <w:p>
                  <w:pPr>
                    <w:snapToGrid w:val="0"/>
                    <w:spacing w:line="360" w:lineRule="exact"/>
                    <w:jc w:val="left"/>
                    <w:rPr>
                      <w:rFonts w:hint="eastAsia" w:ascii="宋体" w:hAnsi="宋体" w:cs="宋体"/>
                      <w:szCs w:val="21"/>
                    </w:rPr>
                  </w:pPr>
                  <w:r>
                    <w:rPr>
                      <w:rFonts w:hint="eastAsia" w:ascii="宋体" w:hAnsi="宋体" w:cs="宋体"/>
                      <w:szCs w:val="21"/>
                    </w:rPr>
                    <w:t>2、认真履行质量、环境、食品安全法律法规。做好环境保护及员工健康安全，保证食品安全；</w:t>
                  </w:r>
                </w:p>
                <w:p>
                  <w:pPr>
                    <w:snapToGrid w:val="0"/>
                    <w:spacing w:line="360" w:lineRule="exact"/>
                    <w:jc w:val="left"/>
                    <w:rPr>
                      <w:rFonts w:hint="eastAsia" w:ascii="宋体" w:hAnsi="宋体" w:cs="宋体"/>
                      <w:szCs w:val="21"/>
                    </w:rPr>
                  </w:pPr>
                  <w:r>
                    <w:rPr>
                      <w:rFonts w:hint="eastAsia" w:ascii="宋体" w:hAnsi="宋体" w:cs="宋体"/>
                      <w:szCs w:val="21"/>
                    </w:rPr>
                    <w:t>3、依托外部资源进行</w:t>
                  </w:r>
                  <w:r>
                    <w:rPr>
                      <w:rFonts w:hint="eastAsia" w:ascii="宋体" w:hAnsi="宋体" w:cs="宋体"/>
                      <w:szCs w:val="21"/>
                      <w:lang w:eastAsia="zh-CN"/>
                    </w:rPr>
                    <w:t>配送部</w:t>
                  </w:r>
                  <w:r>
                    <w:rPr>
                      <w:rFonts w:hint="eastAsia" w:ascii="宋体" w:hAnsi="宋体" w:cs="宋体"/>
                      <w:szCs w:val="21"/>
                    </w:rPr>
                    <w:t>提供；</w:t>
                  </w:r>
                </w:p>
                <w:p>
                  <w:pPr>
                    <w:rPr>
                      <w:color w:val="000000" w:themeColor="text1"/>
                    </w:rPr>
                  </w:pPr>
                  <w:r>
                    <w:rPr>
                      <w:rFonts w:hint="eastAsia" w:ascii="宋体" w:hAnsi="宋体" w:cs="宋体"/>
                      <w:szCs w:val="21"/>
                    </w:rPr>
                    <w:t>4、重点体现总经理作用，确保总经理能够履行承诺</w:t>
                  </w:r>
                </w:p>
              </w:tc>
              <w:tc>
                <w:tcPr>
                  <w:tcW w:w="913" w:type="dxa"/>
                </w:tcPr>
                <w:p>
                  <w:pPr>
                    <w:rPr>
                      <w:color w:val="000000" w:themeColor="text1"/>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5" w:type="dxa"/>
                </w:tcPr>
                <w:p>
                  <w:pPr>
                    <w:snapToGrid w:val="0"/>
                    <w:spacing w:line="360" w:lineRule="exact"/>
                    <w:rPr>
                      <w:color w:val="000000" w:themeColor="text1"/>
                      <w:szCs w:val="24"/>
                    </w:rPr>
                  </w:pPr>
                  <w:r>
                    <w:rPr>
                      <w:rFonts w:hint="eastAsia" w:ascii="宋体" w:hAnsi="宋体" w:cs="宋体"/>
                      <w:kern w:val="0"/>
                      <w:szCs w:val="21"/>
                    </w:rPr>
                    <w:t>国家宏观调控逐步到位，经济形式逐步好转，规范的</w:t>
                  </w:r>
                  <w:r>
                    <w:rPr>
                      <w:rFonts w:hint="eastAsia" w:ascii="宋体" w:hAnsi="宋体" w:cs="宋体"/>
                      <w:kern w:val="0"/>
                      <w:szCs w:val="21"/>
                      <w:lang w:eastAsia="zh-CN"/>
                    </w:rPr>
                    <w:t>配送部</w:t>
                  </w:r>
                  <w:r>
                    <w:rPr>
                      <w:rFonts w:hint="eastAsia" w:ascii="宋体" w:hAnsi="宋体" w:cs="宋体"/>
                      <w:kern w:val="0"/>
                      <w:szCs w:val="21"/>
                    </w:rPr>
                    <w:t>行业渐渐企稳。发展积极因素不断聚积、升稳，公司面向行直接消费者，无资金欠款压力。 </w:t>
                  </w:r>
                </w:p>
              </w:tc>
              <w:tc>
                <w:tcPr>
                  <w:tcW w:w="4837" w:type="dxa"/>
                </w:tcPr>
                <w:p>
                  <w:pPr>
                    <w:snapToGrid w:val="0"/>
                    <w:spacing w:line="360" w:lineRule="exact"/>
                    <w:jc w:val="left"/>
                    <w:rPr>
                      <w:rFonts w:hint="eastAsia" w:ascii="宋体" w:hAnsi="宋体" w:cs="宋体"/>
                      <w:szCs w:val="21"/>
                    </w:rPr>
                  </w:pPr>
                  <w:r>
                    <w:rPr>
                      <w:rFonts w:hint="eastAsia" w:ascii="宋体" w:hAnsi="宋体" w:cs="宋体"/>
                      <w:szCs w:val="21"/>
                    </w:rPr>
                    <w:t>1、 加强市场调查，及时掌握原材料价格波动情况 </w:t>
                  </w:r>
                </w:p>
                <w:p>
                  <w:pPr>
                    <w:rPr>
                      <w:color w:val="000000" w:themeColor="text1"/>
                    </w:rPr>
                  </w:pPr>
                  <w:r>
                    <w:rPr>
                      <w:rFonts w:hint="eastAsia" w:ascii="宋体" w:hAnsi="宋体" w:cs="宋体"/>
                      <w:szCs w:val="21"/>
                    </w:rPr>
                    <w:t>2、 成本核算准确，利润合理、提高产品质量及服务力量。 </w:t>
                  </w:r>
                </w:p>
              </w:tc>
              <w:tc>
                <w:tcPr>
                  <w:tcW w:w="913" w:type="dxa"/>
                  <w:vAlign w:val="top"/>
                </w:tcPr>
                <w:p>
                  <w:pPr>
                    <w:rPr>
                      <w:rFonts w:ascii="Times New Roman" w:hAnsi="Times New Roman" w:eastAsia="宋体" w:cs="Times New Roman"/>
                      <w:color w:val="000000" w:themeColor="text1"/>
                      <w:kern w:val="2"/>
                      <w:sz w:val="21"/>
                      <w:lang w:val="en-US" w:eastAsia="zh-CN" w:bidi="ar-SA"/>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5" w:type="dxa"/>
                </w:tcPr>
                <w:p>
                  <w:pPr>
                    <w:rPr>
                      <w:color w:val="000000" w:themeColor="text1"/>
                      <w:szCs w:val="24"/>
                    </w:rPr>
                  </w:pPr>
                </w:p>
              </w:tc>
              <w:tc>
                <w:tcPr>
                  <w:tcW w:w="4837" w:type="dxa"/>
                </w:tcPr>
                <w:p>
                  <w:pPr>
                    <w:rPr>
                      <w:color w:val="000000" w:themeColor="text1"/>
                    </w:rPr>
                  </w:pPr>
                </w:p>
              </w:tc>
              <w:tc>
                <w:tcPr>
                  <w:tcW w:w="913" w:type="dxa"/>
                </w:tcPr>
                <w:p>
                  <w:pPr>
                    <w:rPr>
                      <w:color w:val="000000" w:themeColor="text1"/>
                    </w:rPr>
                  </w:pPr>
                </w:p>
              </w:tc>
            </w:tr>
          </w:tbl>
          <w:p>
            <w:pPr>
              <w:rPr>
                <w:rFonts w:hint="eastAsia"/>
              </w:rPr>
            </w:pPr>
          </w:p>
          <w:p>
            <w:r>
              <w:rPr>
                <w:rFonts w:hint="eastAsia"/>
              </w:rPr>
              <w:t>查看</w:t>
            </w:r>
            <w:r>
              <w:rPr>
                <w:rFonts w:hint="eastAsia"/>
              </w:rPr>
              <w:sym w:font="Wingdings" w:char="00FE"/>
            </w:r>
            <w:r>
              <w:rPr>
                <w:rFonts w:hint="eastAsia"/>
              </w:rPr>
              <w:t>《风险和机遇评估分析表》</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质量目标及其实现的策划</w:t>
            </w:r>
          </w:p>
          <w:p/>
        </w:tc>
        <w:tc>
          <w:tcPr>
            <w:tcW w:w="960" w:type="dxa"/>
            <w:vMerge w:val="restart"/>
          </w:tcPr>
          <w:p>
            <w:r>
              <w:rPr>
                <w:rFonts w:hint="eastAsia"/>
                <w:color w:val="000000"/>
                <w:szCs w:val="21"/>
              </w:rPr>
              <w:t>Q6.2 </w:t>
            </w:r>
          </w:p>
        </w:tc>
        <w:tc>
          <w:tcPr>
            <w:tcW w:w="745" w:type="dxa"/>
          </w:tcPr>
          <w:p>
            <w:r>
              <w:rPr>
                <w:rFonts w:hint="eastAsia"/>
              </w:rPr>
              <w:t>文件名称</w:t>
            </w:r>
          </w:p>
        </w:tc>
        <w:tc>
          <w:tcPr>
            <w:tcW w:w="9426" w:type="dxa"/>
          </w:tcPr>
          <w:p>
            <w:r>
              <w:rPr>
                <w:rFonts w:hint="eastAsia"/>
              </w:rPr>
              <w:t>如：</w:t>
            </w:r>
            <w:r>
              <w:rPr>
                <w:rFonts w:hint="eastAsia"/>
              </w:rPr>
              <w:sym w:font="Wingdings" w:char="00FE"/>
            </w:r>
            <w:r>
              <w:rPr>
                <w:rFonts w:hint="eastAsia"/>
              </w:rPr>
              <w:t>手册第6.2条款、</w:t>
            </w:r>
            <w:r>
              <w:rPr>
                <w:rFonts w:hint="eastAsia"/>
              </w:rPr>
              <w:sym w:font="Wingdings" w:char="00FE"/>
            </w:r>
            <w:r>
              <w:rPr>
                <w:rFonts w:hint="eastAsia"/>
              </w:rPr>
              <w:t>《</w:t>
            </w:r>
            <w:r>
              <w:rPr>
                <w:rFonts w:hint="eastAsia"/>
                <w:color w:val="000000"/>
                <w:szCs w:val="21"/>
              </w:rPr>
              <w:t>质量目标</w:t>
            </w:r>
            <w:r>
              <w:rPr>
                <w:rFonts w:hint="eastAsia"/>
              </w:rPr>
              <w:t>》</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rPr>
                <w:rFonts w:eastAsia="MS Mincho"/>
                <w:lang w:eastAsia="ja-JP"/>
              </w:rPr>
            </w:pPr>
            <w:r>
              <w:rPr>
                <w:rFonts w:hint="eastAsia"/>
              </w:rPr>
              <w:t>组织建立了与方针一致的文件化的管理目标。为实现总质量目标而建立的各层级质量目标具体、有针对性、可测量并且可实现。</w:t>
            </w:r>
          </w:p>
          <w:p>
            <w:pPr>
              <w:rPr>
                <w:rFonts w:eastAsia="MS Mincho"/>
                <w:lang w:eastAsia="ja-JP"/>
              </w:rPr>
            </w:pPr>
            <w:r>
              <w:rPr>
                <w:rFonts w:hint="eastAsia"/>
              </w:rPr>
              <w:t>总质量目标实现情况的评价，及其测量方法是：</w:t>
            </w:r>
          </w:p>
          <w:p/>
          <w:p>
            <w:pPr>
              <w:rPr>
                <w:rFonts w:hint="eastAsia" w:eastAsiaTheme="minorEastAsia"/>
              </w:rPr>
            </w:pPr>
            <w:bookmarkStart w:id="1" w:name="_GoBack"/>
            <w:r>
              <w:rPr>
                <w:rFonts w:hint="eastAsia" w:eastAsiaTheme="minorEastAsia"/>
                <w:lang w:val="en-US" w:eastAsia="zh-CN"/>
              </w:rPr>
              <w:t>a)</w:t>
            </w:r>
            <w:r>
              <w:rPr>
                <w:rFonts w:hint="eastAsia" w:eastAsiaTheme="minorEastAsia"/>
              </w:rPr>
              <w:t>食品安全投诉率低于1%；</w:t>
            </w:r>
          </w:p>
          <w:p>
            <w:pPr>
              <w:rPr>
                <w:rFonts w:hint="eastAsia" w:eastAsiaTheme="minorEastAsia"/>
              </w:rPr>
            </w:pPr>
            <w:r>
              <w:rPr>
                <w:rFonts w:eastAsiaTheme="minorEastAsia"/>
              </w:rPr>
              <w:t>b</w:t>
            </w:r>
            <w:r>
              <w:rPr>
                <w:rFonts w:hint="eastAsia" w:eastAsiaTheme="minorEastAsia"/>
              </w:rPr>
              <w:t>)产品验收合格率</w:t>
            </w:r>
            <w:r>
              <w:rPr>
                <w:rFonts w:eastAsiaTheme="minorEastAsia"/>
              </w:rPr>
              <w:t>100</w:t>
            </w:r>
            <w:r>
              <w:rPr>
                <w:rFonts w:hint="eastAsia" w:eastAsiaTheme="minorEastAsia"/>
              </w:rPr>
              <w:t xml:space="preserve"> %；</w:t>
            </w:r>
          </w:p>
          <w:p>
            <w:pPr>
              <w:rPr>
                <w:rFonts w:hint="eastAsia" w:eastAsiaTheme="minorEastAsia"/>
              </w:rPr>
            </w:pPr>
            <w:r>
              <w:rPr>
                <w:rFonts w:eastAsiaTheme="minorEastAsia"/>
              </w:rPr>
              <w:t>c</w:t>
            </w:r>
            <w:r>
              <w:rPr>
                <w:rFonts w:hint="eastAsia" w:eastAsiaTheme="minorEastAsia"/>
              </w:rPr>
              <w:t>)顾客满意度≥85%；</w:t>
            </w:r>
          </w:p>
          <w:p>
            <w:pPr>
              <w:rPr>
                <w:rFonts w:eastAsiaTheme="minorEastAsia"/>
              </w:rPr>
            </w:pPr>
            <w:r>
              <w:rPr>
                <w:rFonts w:eastAsiaTheme="minorEastAsia"/>
              </w:rPr>
              <w:t>d</w:t>
            </w:r>
            <w:r>
              <w:rPr>
                <w:rFonts w:hint="eastAsia" w:eastAsiaTheme="minorEastAsia"/>
              </w:rPr>
              <w:t>)重大食品安全事故为0。</w:t>
            </w:r>
          </w:p>
          <w:bookmarkEnd w:id="1"/>
          <w:p>
            <w:pPr>
              <w:rPr>
                <w:rFonts w:eastAsia="MS Mincho"/>
                <w:lang w:eastAsia="ja-JP"/>
              </w:rPr>
            </w:pPr>
          </w:p>
          <w:p>
            <w:r>
              <w:rPr>
                <w:rFonts w:hint="eastAsia"/>
              </w:rPr>
              <w:sym w:font="Wingdings" w:char="00FE"/>
            </w:r>
            <w:r>
              <w:rPr>
                <w:rFonts w:hint="eastAsia"/>
              </w:rPr>
              <w:t>目标已实现</w:t>
            </w:r>
          </w:p>
          <w:p>
            <w:r>
              <w:rPr>
                <w:rFonts w:hint="eastAsia"/>
              </w:rPr>
              <w:sym w:font="Wingdings" w:char="00A8"/>
            </w:r>
            <w:r>
              <w:rPr>
                <w:rFonts w:hint="eastAsia"/>
              </w:rPr>
              <w:t>目标没有实现的，组织在内部及时进行原因分析并采取了改进措施。</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变更的策划</w:t>
            </w:r>
          </w:p>
          <w:p/>
        </w:tc>
        <w:tc>
          <w:tcPr>
            <w:tcW w:w="960" w:type="dxa"/>
            <w:vMerge w:val="restart"/>
          </w:tcPr>
          <w:p>
            <w:r>
              <w:rPr>
                <w:rFonts w:hint="eastAsia"/>
                <w:color w:val="000000"/>
                <w:szCs w:val="21"/>
              </w:rPr>
              <w:t>Q6.3  </w:t>
            </w:r>
          </w:p>
        </w:tc>
        <w:tc>
          <w:tcPr>
            <w:tcW w:w="745" w:type="dxa"/>
          </w:tcPr>
          <w:p>
            <w:r>
              <w:rPr>
                <w:rFonts w:hint="eastAsia"/>
              </w:rPr>
              <w:t>文件名称</w:t>
            </w:r>
          </w:p>
        </w:tc>
        <w:tc>
          <w:tcPr>
            <w:tcW w:w="9426" w:type="dxa"/>
          </w:tcPr>
          <w:p>
            <w:r>
              <w:rPr>
                <w:rFonts w:hint="eastAsia"/>
              </w:rPr>
              <w:t>如：手册第6.3条款、</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r>
              <w:rPr>
                <w:rFonts w:hint="eastAsia"/>
                <w:color w:val="000000"/>
                <w:szCs w:val="21"/>
              </w:rPr>
              <w:t xml:space="preserve"> </w:t>
            </w:r>
            <w:r>
              <w:rPr>
                <w:rFonts w:hint="eastAsia"/>
              </w:rPr>
              <w:t>组织对相关管理体系进行变更时，变更应按所策划的方式实施；审核周期内的重大变更有：</w:t>
            </w:r>
          </w:p>
          <w:p>
            <w:pPr>
              <w:spacing w:before="40" w:after="40"/>
            </w:pPr>
            <w:r>
              <w:rPr>
                <w:rFonts w:hint="eastAsia"/>
              </w:rPr>
              <w:t xml:space="preserve">□组织结构变更 □部门职责变更 □主要原材料 □关键人员 □生产工艺/服务流程 </w:t>
            </w:r>
          </w:p>
          <w:p>
            <w:pPr>
              <w:spacing w:before="40" w:after="40"/>
            </w:pPr>
            <w:r>
              <w:rPr>
                <w:rFonts w:hint="eastAsia"/>
              </w:rPr>
              <w:t>□主要设备设施 □主要检测设备 ☑无变更</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3632"/>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体系变更的内容说明</w:t>
                  </w:r>
                </w:p>
              </w:tc>
              <w:tc>
                <w:tcPr>
                  <w:tcW w:w="3632" w:type="dxa"/>
                </w:tcPr>
                <w:p>
                  <w:pPr>
                    <w:rPr>
                      <w:highlight w:val="cyan"/>
                    </w:rPr>
                  </w:pPr>
                  <w:r>
                    <w:rPr>
                      <w:rFonts w:hint="eastAsia"/>
                    </w:rPr>
                    <w:t>无</w:t>
                  </w: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评价内容</w:t>
                  </w:r>
                </w:p>
              </w:tc>
              <w:tc>
                <w:tcPr>
                  <w:tcW w:w="3632" w:type="dxa"/>
                </w:tcPr>
                <w:p>
                  <w:r>
                    <w:rPr>
                      <w:rFonts w:hint="eastAsia"/>
                    </w:rPr>
                    <w:t>评价具体描述</w:t>
                  </w:r>
                </w:p>
              </w:tc>
              <w:tc>
                <w:tcPr>
                  <w:tcW w:w="3015" w:type="dxa"/>
                </w:tcPr>
                <w:p>
                  <w:r>
                    <w:rPr>
                      <w:rFonts w:hint="eastAsia"/>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变更目的</w:t>
                  </w:r>
                </w:p>
              </w:tc>
              <w:tc>
                <w:tcPr>
                  <w:tcW w:w="3632" w:type="dxa"/>
                </w:tcP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其潜在后果</w:t>
                  </w:r>
                </w:p>
              </w:tc>
              <w:tc>
                <w:tcPr>
                  <w:tcW w:w="3632" w:type="dxa"/>
                </w:tcP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质量管理体系的完整性</w:t>
                  </w:r>
                </w:p>
              </w:tc>
              <w:tc>
                <w:tcPr>
                  <w:tcW w:w="3632" w:type="dxa"/>
                </w:tcP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资源的可获得性</w:t>
                  </w:r>
                </w:p>
              </w:tc>
              <w:tc>
                <w:tcPr>
                  <w:tcW w:w="3632" w:type="dxa"/>
                </w:tcP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职责和权限的分配或再分配</w:t>
                  </w:r>
                </w:p>
              </w:tc>
              <w:tc>
                <w:tcPr>
                  <w:tcW w:w="3632" w:type="dxa"/>
                </w:tcP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bl>
          <w:p/>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资源（总则）</w:t>
            </w:r>
          </w:p>
        </w:tc>
        <w:tc>
          <w:tcPr>
            <w:tcW w:w="960" w:type="dxa"/>
            <w:vMerge w:val="restart"/>
          </w:tcPr>
          <w:p>
            <w:r>
              <w:rPr>
                <w:rFonts w:hint="eastAsia"/>
                <w:color w:val="000000"/>
                <w:szCs w:val="21"/>
              </w:rPr>
              <w:t>Q7.1 </w:t>
            </w:r>
          </w:p>
        </w:tc>
        <w:tc>
          <w:tcPr>
            <w:tcW w:w="745" w:type="dxa"/>
          </w:tcPr>
          <w:p>
            <w:r>
              <w:rPr>
                <w:rFonts w:hint="eastAsia"/>
              </w:rPr>
              <w:t>文件名称</w:t>
            </w:r>
          </w:p>
        </w:tc>
        <w:tc>
          <w:tcPr>
            <w:tcW w:w="9426" w:type="dxa"/>
          </w:tcPr>
          <w:p>
            <w:r>
              <w:rPr>
                <w:rFonts w:hint="eastAsia"/>
              </w:rPr>
              <w:t>如：手册第7.1条款、</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rPr>
                <w:color w:val="000000"/>
                <w:szCs w:val="21"/>
              </w:rPr>
            </w:pPr>
            <w:r>
              <w:rPr>
                <w:rFonts w:hint="eastAsia"/>
                <w:color w:val="000000"/>
                <w:szCs w:val="21"/>
              </w:rPr>
              <w:t xml:space="preserve">和最高管理层确定并提供所需的资源，以建立、实施、保持和持续改进质量管理体系。 </w:t>
            </w:r>
          </w:p>
          <w:p>
            <w:pPr>
              <w:numPr>
                <w:ilvl w:val="0"/>
                <w:numId w:val="1"/>
              </w:numPr>
              <w:rPr>
                <w:color w:val="000000"/>
                <w:szCs w:val="21"/>
              </w:rPr>
            </w:pPr>
            <w:r>
              <w:rPr>
                <w:rFonts w:hint="eastAsia"/>
                <w:color w:val="000000"/>
                <w:szCs w:val="21"/>
              </w:rPr>
              <w:t>现有内部资源的能力；</w:t>
            </w:r>
          </w:p>
          <w:p>
            <w:r>
              <w:rPr>
                <w:rFonts w:hint="eastAsia"/>
              </w:rPr>
              <w:t>建筑面积</w:t>
            </w:r>
            <w:r>
              <w:rPr>
                <w:rFonts w:hint="eastAsia"/>
                <w:u w:val="single"/>
              </w:rPr>
              <w:t xml:space="preserve">  480  </w:t>
            </w:r>
            <w:r>
              <w:rPr>
                <w:rFonts w:hint="eastAsia"/>
              </w:rPr>
              <w:t>平米；生产车间</w:t>
            </w:r>
            <w:r>
              <w:rPr>
                <w:rFonts w:hint="eastAsia"/>
                <w:u w:val="single"/>
              </w:rPr>
              <w:t xml:space="preserve"> 1  </w:t>
            </w:r>
            <w:r>
              <w:rPr>
                <w:rFonts w:hint="eastAsia"/>
              </w:rPr>
              <w:t>个；库房</w:t>
            </w:r>
            <w:r>
              <w:rPr>
                <w:rFonts w:hint="eastAsia"/>
                <w:u w:val="single"/>
              </w:rPr>
              <w:t xml:space="preserve"> 1   </w:t>
            </w:r>
            <w:r>
              <w:rPr>
                <w:rFonts w:hint="eastAsia"/>
              </w:rPr>
              <w:t>个；实验室1</w:t>
            </w:r>
            <w:r>
              <w:rPr>
                <w:rFonts w:hint="eastAsia"/>
                <w:u w:val="single"/>
              </w:rPr>
              <w:t xml:space="preserve">   </w:t>
            </w:r>
            <w:r>
              <w:rPr>
                <w:rFonts w:hint="eastAsia"/>
              </w:rPr>
              <w:t>个</w:t>
            </w:r>
          </w:p>
          <w:p>
            <w:pPr>
              <w:rPr>
                <w:u w:val="single"/>
              </w:rPr>
            </w:pPr>
            <w:r>
              <w:rPr>
                <w:rFonts w:hint="eastAsia"/>
              </w:rPr>
              <w:t>主要配送设备有</w:t>
            </w:r>
            <w:r>
              <w:rPr>
                <w:rFonts w:hint="eastAsia"/>
                <w:u w:val="single"/>
              </w:rPr>
              <w:t>冷藏车，仓库，台秤，栈板，电脑  （2~4种）</w:t>
            </w:r>
          </w:p>
          <w:p>
            <w:r>
              <w:rPr>
                <w:rFonts w:hint="eastAsia"/>
              </w:rPr>
              <w:t>特种设备：</w:t>
            </w:r>
            <w:r>
              <w:rPr>
                <w:rFonts w:hint="eastAsia"/>
              </w:rPr>
              <w:sym w:font="Wingdings" w:char="00A8"/>
            </w:r>
            <w:r>
              <w:rPr>
                <w:rFonts w:hint="eastAsia"/>
              </w:rPr>
              <w:t>叉车</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FE"/>
            </w:r>
            <w:r>
              <w:rPr>
                <w:rFonts w:hint="eastAsia"/>
              </w:rPr>
              <w:t xml:space="preserve">不适用  </w:t>
            </w:r>
          </w:p>
          <w:p>
            <w:pPr>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不适用           </w:t>
            </w:r>
          </w:p>
          <w:p>
            <w:pPr>
              <w:rPr>
                <w:color w:val="000000"/>
                <w:szCs w:val="21"/>
              </w:rPr>
            </w:pPr>
          </w:p>
          <w:p>
            <w:pPr>
              <w:rPr>
                <w:color w:val="000000"/>
                <w:szCs w:val="21"/>
              </w:rPr>
            </w:pPr>
            <w:r>
              <w:rPr>
                <w:rFonts w:hint="eastAsia"/>
                <w:color w:val="000000"/>
                <w:szCs w:val="21"/>
              </w:rPr>
              <w:t>还存在哪些局限和不足：</w:t>
            </w:r>
            <w:r>
              <w:rPr>
                <w:rFonts w:hint="eastAsia"/>
                <w:u w:val="single"/>
              </w:rPr>
              <w:t xml:space="preserve">  无                    </w:t>
            </w:r>
          </w:p>
          <w:p>
            <w:pPr>
              <w:rPr>
                <w:color w:val="000000"/>
                <w:szCs w:val="21"/>
              </w:rPr>
            </w:pPr>
          </w:p>
          <w:p>
            <w:pPr>
              <w:numPr>
                <w:ilvl w:val="0"/>
                <w:numId w:val="1"/>
              </w:numPr>
            </w:pPr>
            <w:r>
              <w:rPr>
                <w:rFonts w:hint="eastAsia"/>
                <w:color w:val="000000"/>
                <w:szCs w:val="21"/>
              </w:rPr>
              <w:t>需要从外部供方获得的资源：</w:t>
            </w:r>
            <w:r>
              <w:rPr>
                <w:rFonts w:hint="eastAsia"/>
              </w:rPr>
              <w:t xml:space="preserve"> </w:t>
            </w:r>
            <w:r>
              <w:rPr>
                <w:rFonts w:hint="eastAsia"/>
                <w:u w:val="single"/>
              </w:rPr>
              <w:t xml:space="preserve">  无                                     </w:t>
            </w:r>
            <w:r>
              <w:rPr>
                <w:rFonts w:hint="eastAsia"/>
              </w:rPr>
              <w:t xml:space="preserve">                            </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color w:val="000000"/>
                <w:szCs w:val="21"/>
              </w:rPr>
              <w:t>人员</w:t>
            </w:r>
          </w:p>
        </w:tc>
        <w:tc>
          <w:tcPr>
            <w:tcW w:w="960" w:type="dxa"/>
            <w:vMerge w:val="restart"/>
          </w:tcPr>
          <w:p>
            <w:r>
              <w:rPr>
                <w:rFonts w:hint="eastAsia"/>
                <w:color w:val="000000"/>
                <w:szCs w:val="21"/>
              </w:rPr>
              <w:t>Q7.1.2</w:t>
            </w:r>
          </w:p>
        </w:tc>
        <w:tc>
          <w:tcPr>
            <w:tcW w:w="745" w:type="dxa"/>
          </w:tcPr>
          <w:p>
            <w:r>
              <w:rPr>
                <w:rFonts w:hint="eastAsia"/>
              </w:rPr>
              <w:t>文件名称</w:t>
            </w:r>
          </w:p>
        </w:tc>
        <w:tc>
          <w:tcPr>
            <w:tcW w:w="9426" w:type="dxa"/>
          </w:tcPr>
          <w:p>
            <w:r>
              <w:rPr>
                <w:rFonts w:hint="eastAsia"/>
              </w:rPr>
              <w:t>如：手册第7.1条款、</w:t>
            </w:r>
            <w:r>
              <w:rPr>
                <w:rFonts w:hint="eastAsia"/>
              </w:rPr>
              <w:sym w:font="Wingdings" w:char="00FE"/>
            </w:r>
            <w:r>
              <w:rPr>
                <w:rFonts w:hint="eastAsia"/>
              </w:rPr>
              <w:t>《人力资源控制程序》</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pPr>
              <w:rPr>
                <w:color w:val="000000"/>
                <w:szCs w:val="21"/>
              </w:rPr>
            </w:pPr>
            <w:r>
              <w:rPr>
                <w:rFonts w:hint="eastAsia"/>
                <w:color w:val="000000"/>
                <w:szCs w:val="21"/>
              </w:rPr>
              <w:t>和最高管理者了解了组织应确定并配备所需的人员情况。</w:t>
            </w:r>
          </w:p>
          <w:p>
            <w:pPr>
              <w:rPr>
                <w:color w:val="000000"/>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41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rPr>
                      <w:szCs w:val="21"/>
                    </w:rPr>
                  </w:pPr>
                  <w:r>
                    <w:rPr>
                      <w:rFonts w:hint="eastAsia"/>
                    </w:rPr>
                    <w:t>管理人员数量</w:t>
                  </w:r>
                </w:p>
              </w:tc>
              <w:tc>
                <w:tcPr>
                  <w:tcW w:w="1417" w:type="dxa"/>
                </w:tcPr>
                <w:p>
                  <w:pPr>
                    <w:rPr>
                      <w:szCs w:val="21"/>
                    </w:rPr>
                  </w:pPr>
                  <w:r>
                    <w:rPr>
                      <w:rFonts w:hint="eastAsia"/>
                    </w:rPr>
                    <w:t>普通人员数</w:t>
                  </w:r>
                </w:p>
              </w:tc>
              <w:tc>
                <w:tcPr>
                  <w:tcW w:w="1292" w:type="dxa"/>
                </w:tcPr>
                <w:p>
                  <w:pPr>
                    <w:rPr>
                      <w:szCs w:val="21"/>
                    </w:rPr>
                  </w:pPr>
                  <w:r>
                    <w:rPr>
                      <w:rFonts w:hint="eastAsia"/>
                      <w:szCs w:val="21"/>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tcPr>
                <w:p>
                  <w:pPr>
                    <w:ind w:firstLine="630" w:firstLineChars="300"/>
                    <w:rPr>
                      <w:szCs w:val="21"/>
                    </w:rPr>
                  </w:pPr>
                  <w:r>
                    <w:rPr>
                      <w:rFonts w:hint="eastAsia"/>
                      <w:szCs w:val="21"/>
                    </w:rPr>
                    <w:t>4</w:t>
                  </w:r>
                </w:p>
              </w:tc>
              <w:tc>
                <w:tcPr>
                  <w:tcW w:w="1417" w:type="dxa"/>
                </w:tcPr>
                <w:p>
                  <w:pPr>
                    <w:ind w:firstLine="420" w:firstLineChars="200"/>
                    <w:rPr>
                      <w:szCs w:val="21"/>
                    </w:rPr>
                  </w:pPr>
                  <w:r>
                    <w:rPr>
                      <w:rFonts w:hint="eastAsia"/>
                      <w:szCs w:val="21"/>
                    </w:rPr>
                    <w:t>6</w:t>
                  </w:r>
                </w:p>
              </w:tc>
              <w:tc>
                <w:tcPr>
                  <w:tcW w:w="1292" w:type="dxa"/>
                </w:tcPr>
                <w:p>
                  <w:pPr>
                    <w:rPr>
                      <w:szCs w:val="21"/>
                    </w:rPr>
                  </w:pPr>
                  <w:r>
                    <w:rPr>
                      <w:rFonts w:hint="eastAsia"/>
                      <w:szCs w:val="21"/>
                    </w:rPr>
                    <w:t>10</w:t>
                  </w:r>
                </w:p>
              </w:tc>
            </w:tr>
          </w:tbl>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意识</w:t>
            </w:r>
          </w:p>
        </w:tc>
        <w:tc>
          <w:tcPr>
            <w:tcW w:w="960" w:type="dxa"/>
            <w:vMerge w:val="restart"/>
          </w:tcPr>
          <w:p>
            <w:r>
              <w:rPr>
                <w:rFonts w:hint="eastAsia"/>
              </w:rPr>
              <w:t xml:space="preserve">Q7.3  </w:t>
            </w:r>
          </w:p>
        </w:tc>
        <w:tc>
          <w:tcPr>
            <w:tcW w:w="745" w:type="dxa"/>
          </w:tcPr>
          <w:p>
            <w:r>
              <w:rPr>
                <w:rFonts w:hint="eastAsia"/>
              </w:rPr>
              <w:t>文件名称</w:t>
            </w:r>
          </w:p>
        </w:tc>
        <w:tc>
          <w:tcPr>
            <w:tcW w:w="9426" w:type="dxa"/>
          </w:tcPr>
          <w:p>
            <w:r>
              <w:rPr>
                <w:rFonts w:hint="eastAsia"/>
              </w:rPr>
              <w:t>如：</w:t>
            </w:r>
            <w:r>
              <w:rPr>
                <w:rFonts w:hint="eastAsia"/>
              </w:rPr>
              <w:sym w:font="Wingdings" w:char="00FE"/>
            </w:r>
            <w:r>
              <w:rPr>
                <w:rFonts w:hint="eastAsia"/>
              </w:rPr>
              <w:t>《人力资源控制程序》</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r>
              <w:rPr>
                <w:rFonts w:hint="eastAsia"/>
              </w:rPr>
              <w:t xml:space="preserve">组织工作人员提高质量意识的方式： </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4061"/>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4" w:type="dxa"/>
                </w:tcPr>
                <w:p>
                  <w:r>
                    <w:rPr>
                      <w:rFonts w:hint="eastAsia"/>
                    </w:rPr>
                    <w:t>需要让员工知晓的内容</w:t>
                  </w:r>
                </w:p>
              </w:tc>
              <w:tc>
                <w:tcPr>
                  <w:tcW w:w="4061" w:type="dxa"/>
                </w:tcPr>
                <w:p>
                  <w:r>
                    <w:rPr>
                      <w:rFonts w:hint="eastAsia"/>
                    </w:rPr>
                    <w:t>方式</w:t>
                  </w:r>
                </w:p>
              </w:tc>
              <w:tc>
                <w:tcPr>
                  <w:tcW w:w="1968" w:type="dxa"/>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质量方针</w:t>
                  </w:r>
                </w:p>
              </w:tc>
              <w:tc>
                <w:tcPr>
                  <w:tcW w:w="4061"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相关的质量目标</w:t>
                  </w:r>
                </w:p>
              </w:tc>
              <w:tc>
                <w:tcPr>
                  <w:tcW w:w="4061"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对质量管理体系有效性的贡献，包括改进绩效的益处；</w:t>
                  </w:r>
                </w:p>
              </w:tc>
              <w:tc>
                <w:tcPr>
                  <w:tcW w:w="4061"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不符合质量管理体系要求的后果</w:t>
                  </w:r>
                </w:p>
              </w:tc>
              <w:tc>
                <w:tcPr>
                  <w:tcW w:w="4061" w:type="dxa"/>
                </w:tcPr>
                <w:p>
                  <w:r>
                    <w:rPr>
                      <w:rFonts w:hint="eastAsia" w:ascii="Calibri" w:hAnsi="Calibri"/>
                    </w:rPr>
                    <w:t>☑</w:t>
                  </w:r>
                  <w:r>
                    <w:rPr>
                      <w:rFonts w:hint="eastAsia"/>
                    </w:rPr>
                    <w:t xml:space="preserve">会议  </w:t>
                  </w:r>
                  <w:r>
                    <w:rPr>
                      <w:rFonts w:hint="eastAsia" w:ascii="Calibri" w:hAnsi="Calibri"/>
                    </w:rPr>
                    <w:t>□</w:t>
                  </w:r>
                  <w:r>
                    <w:rPr>
                      <w:rFonts w:hint="eastAsia"/>
                    </w:rPr>
                    <w:t xml:space="preserve">展板 </w:t>
                  </w:r>
                  <w:r>
                    <w:rPr>
                      <w:rFonts w:hint="eastAsia" w:ascii="Calibri" w:hAnsi="Calibri"/>
                    </w:rPr>
                    <w:t>□</w:t>
                  </w:r>
                  <w:r>
                    <w:rPr>
                      <w:rFonts w:hint="eastAsia"/>
                    </w:rPr>
                    <w:t xml:space="preserve">标语 </w:t>
                  </w:r>
                  <w:r>
                    <w:rPr>
                      <w:rFonts w:hint="eastAsia" w:ascii="Calibri" w:hAnsi="Calibri"/>
                    </w:rPr>
                    <w:t>☑培训</w:t>
                  </w:r>
                  <w:r>
                    <w:rPr>
                      <w:rFonts w:hint="eastAsia"/>
                    </w:rPr>
                    <w:t xml:space="preserve"> </w:t>
                  </w:r>
                  <w:r>
                    <w:rPr>
                      <w:rFonts w:hint="eastAsia" w:ascii="Calibri" w:hAnsi="Calibri"/>
                    </w:rPr>
                    <w:t>□其他</w:t>
                  </w:r>
                  <w:r>
                    <w:rPr>
                      <w:rFonts w:hint="eastAsia"/>
                    </w:rPr>
                    <w:t xml:space="preserve"> </w:t>
                  </w:r>
                </w:p>
              </w:tc>
              <w:tc>
                <w:tcPr>
                  <w:tcW w:w="1968" w:type="dxa"/>
                </w:tcPr>
                <w:p/>
              </w:tc>
            </w:tr>
          </w:tbl>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r>
              <w:t>监视、测量、分析和评价</w:t>
            </w:r>
          </w:p>
        </w:tc>
        <w:tc>
          <w:tcPr>
            <w:tcW w:w="960" w:type="dxa"/>
          </w:tcPr>
          <w:p>
            <w:r>
              <w:rPr>
                <w:rFonts w:hint="eastAsia"/>
              </w:rPr>
              <w:t>Q9.1</w:t>
            </w:r>
          </w:p>
          <w:p/>
          <w:p/>
        </w:tc>
        <w:tc>
          <w:tcPr>
            <w:tcW w:w="745" w:type="dxa"/>
          </w:tcPr>
          <w:p>
            <w:r>
              <w:rPr>
                <w:rFonts w:hint="eastAsia"/>
              </w:rPr>
              <w:t>文件名称</w:t>
            </w:r>
          </w:p>
        </w:tc>
        <w:tc>
          <w:tcPr>
            <w:tcW w:w="9426" w:type="dxa"/>
          </w:tcPr>
          <w:p>
            <w:pPr>
              <w:ind w:right="640"/>
            </w:pPr>
            <w:r>
              <w:rPr>
                <w:rFonts w:hint="eastAsia"/>
              </w:rPr>
              <w:t>如：</w:t>
            </w:r>
            <w:r>
              <w:rPr>
                <w:rFonts w:hint="eastAsia"/>
              </w:rPr>
              <w:sym w:font="Wingdings" w:char="00FE"/>
            </w:r>
            <w:r>
              <w:rPr>
                <w:rFonts w:hint="eastAsia"/>
              </w:rPr>
              <w:t>管理手册9.1</w:t>
            </w:r>
            <w:r>
              <w:rPr>
                <w:rFonts w:hint="eastAsia" w:ascii="楷体_GB2312" w:eastAsia="楷体_GB2312"/>
                <w:b/>
                <w:bCs/>
                <w:sz w:val="32"/>
              </w:rPr>
              <w:t xml:space="preserve">  </w:t>
            </w:r>
            <w:r>
              <w:rPr>
                <w:rFonts w:hint="eastAsia"/>
              </w:rPr>
              <w:sym w:font="Wingdings" w:char="00FE"/>
            </w:r>
            <w:r>
              <w:rPr>
                <w:rFonts w:hint="eastAsia" w:ascii="楷体_GB2312" w:eastAsia="楷体_GB2312"/>
                <w:b/>
                <w:bCs/>
                <w:sz w:val="32"/>
              </w:rPr>
              <w:t xml:space="preserve"> </w:t>
            </w:r>
            <w:r>
              <w:rPr>
                <w:rFonts w:hint="eastAsia"/>
              </w:rPr>
              <w:t>内部审核控制程序</w:t>
            </w:r>
          </w:p>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tcPr>
          <w:p/>
        </w:tc>
        <w:tc>
          <w:tcPr>
            <w:tcW w:w="960" w:type="dxa"/>
          </w:tcPr>
          <w:p/>
        </w:tc>
        <w:tc>
          <w:tcPr>
            <w:tcW w:w="745" w:type="dxa"/>
          </w:tcPr>
          <w:p>
            <w:r>
              <w:rPr>
                <w:rFonts w:hint="eastAsia"/>
              </w:rPr>
              <w:t>运行证据</w:t>
            </w:r>
          </w:p>
        </w:tc>
        <w:tc>
          <w:tcPr>
            <w:tcW w:w="9426" w:type="dxa"/>
          </w:tcPr>
          <w:tbl>
            <w:tblPr>
              <w:tblStyle w:val="6"/>
              <w:tblW w:w="14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4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02" w:type="dxa"/>
                </w:tcPr>
                <w:p>
                  <w:r>
                    <w:rPr>
                      <w:rFonts w:hint="eastAsia"/>
                    </w:rPr>
                    <w:t>运行证据</w:t>
                  </w:r>
                </w:p>
              </w:tc>
              <w:tc>
                <w:tcPr>
                  <w:tcW w:w="14043" w:type="dxa"/>
                </w:tcPr>
                <w:p>
                  <w:r>
                    <w:rPr>
                      <w:rFonts w:hint="eastAsia"/>
                    </w:rPr>
                    <w:t>组织对监视和测量的策划</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843"/>
                    <w:gridCol w:w="1559"/>
                    <w:gridCol w:w="1276"/>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r>
                          <w:rPr>
                            <w:rFonts w:hint="eastAsia"/>
                          </w:rPr>
                          <w:t>监视和测量的对象</w:t>
                        </w:r>
                      </w:p>
                    </w:tc>
                    <w:tc>
                      <w:tcPr>
                        <w:tcW w:w="1843" w:type="dxa"/>
                      </w:tcPr>
                      <w:p>
                        <w:r>
                          <w:rPr>
                            <w:rFonts w:hint="eastAsia"/>
                          </w:rPr>
                          <w:t>监视、测量的方法</w:t>
                        </w:r>
                      </w:p>
                    </w:tc>
                    <w:tc>
                      <w:tcPr>
                        <w:tcW w:w="1559" w:type="dxa"/>
                      </w:tcPr>
                      <w:p>
                        <w:r>
                          <w:rPr>
                            <w:rFonts w:hint="eastAsia"/>
                          </w:rPr>
                          <w:t>监视和测量的频次和时机</w:t>
                        </w:r>
                      </w:p>
                    </w:tc>
                    <w:tc>
                      <w:tcPr>
                        <w:tcW w:w="1276" w:type="dxa"/>
                      </w:tcPr>
                      <w:p>
                        <w:r>
                          <w:rPr>
                            <w:rFonts w:hint="eastAsia"/>
                          </w:rPr>
                          <w:t>分析和评价的方法</w:t>
                        </w:r>
                      </w:p>
                    </w:tc>
                    <w:tc>
                      <w:tcPr>
                        <w:tcW w:w="3296" w:type="dxa"/>
                      </w:tcPr>
                      <w:p>
                        <w:r>
                          <w:rPr>
                            <w:rFonts w:hint="eastAsia"/>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r>
                          <w:rPr>
                            <w:rFonts w:hint="eastAsia"/>
                          </w:rPr>
                          <w:t>产品</w:t>
                        </w:r>
                      </w:p>
                    </w:tc>
                    <w:tc>
                      <w:tcPr>
                        <w:tcW w:w="1843" w:type="dxa"/>
                      </w:tcPr>
                      <w:p>
                        <w:r>
                          <w:rPr>
                            <w:rFonts w:hint="eastAsia"/>
                          </w:rPr>
                          <w:t>产品（原材料、半成品、成品）检验</w:t>
                        </w:r>
                      </w:p>
                    </w:tc>
                    <w:tc>
                      <w:tcPr>
                        <w:tcW w:w="1559" w:type="dxa"/>
                      </w:tcPr>
                      <w:p>
                        <w:r>
                          <w:rPr>
                            <w:rFonts w:hint="eastAsia"/>
                            <w:color w:val="000000"/>
                            <w:szCs w:val="21"/>
                          </w:rPr>
                          <w:t>□</w:t>
                        </w:r>
                        <w:r>
                          <w:rPr>
                            <w:rFonts w:hint="eastAsia"/>
                          </w:rPr>
                          <w:t>见检验计划/规程</w:t>
                        </w:r>
                        <w:r>
                          <w:rPr>
                            <w:rFonts w:hint="eastAsia"/>
                            <w:color w:val="000000"/>
                            <w:szCs w:val="21"/>
                          </w:rPr>
                          <w:t>☑每批</w:t>
                        </w:r>
                      </w:p>
                    </w:tc>
                    <w:tc>
                      <w:tcPr>
                        <w:tcW w:w="1276" w:type="dxa"/>
                      </w:tcPr>
                      <w:p>
                        <w:r>
                          <w:rPr>
                            <w:rFonts w:hint="eastAsia"/>
                          </w:rPr>
                          <w:t>对产品合格率进行统计，</w:t>
                        </w:r>
                      </w:p>
                    </w:tc>
                    <w:tc>
                      <w:tcPr>
                        <w:tcW w:w="3296"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r>
                          <w:rPr>
                            <w:rFonts w:hint="eastAsia"/>
                          </w:rPr>
                          <w:t>过程</w:t>
                        </w:r>
                      </w:p>
                    </w:tc>
                    <w:tc>
                      <w:tcPr>
                        <w:tcW w:w="1843" w:type="dxa"/>
                      </w:tcPr>
                      <w:p>
                        <w:r>
                          <w:rPr>
                            <w:rFonts w:hint="eastAsia"/>
                          </w:rPr>
                          <w:t>现场巡视</w:t>
                        </w:r>
                      </w:p>
                      <w:p>
                        <w:r>
                          <w:rPr>
                            <w:rFonts w:hint="eastAsia"/>
                          </w:rPr>
                          <w:t>抽查记录</w:t>
                        </w:r>
                      </w:p>
                    </w:tc>
                    <w:tc>
                      <w:tcPr>
                        <w:tcW w:w="1559" w:type="dxa"/>
                      </w:tcPr>
                      <w:p>
                        <w:r>
                          <w:rPr>
                            <w:rFonts w:hint="eastAsia"/>
                            <w:color w:val="000000"/>
                            <w:szCs w:val="21"/>
                          </w:rPr>
                          <w:t>☑</w:t>
                        </w:r>
                        <w:r>
                          <w:rPr>
                            <w:rFonts w:hint="eastAsia"/>
                          </w:rPr>
                          <w:t>定期检查</w:t>
                        </w:r>
                      </w:p>
                      <w:p>
                        <w:r>
                          <w:rPr>
                            <w:rFonts w:hint="eastAsia"/>
                            <w:color w:val="000000"/>
                            <w:szCs w:val="21"/>
                          </w:rPr>
                          <w:t>☑</w:t>
                        </w:r>
                        <w:r>
                          <w:rPr>
                            <w:rFonts w:hint="eastAsia"/>
                          </w:rPr>
                          <w:t>抽查</w:t>
                        </w:r>
                      </w:p>
                    </w:tc>
                    <w:tc>
                      <w:tcPr>
                        <w:tcW w:w="1276" w:type="dxa"/>
                      </w:tcPr>
                      <w:p>
                        <w:r>
                          <w:rPr>
                            <w:rFonts w:hint="eastAsia"/>
                          </w:rPr>
                          <w:t>对质量目标/Cpk进行统计</w:t>
                        </w:r>
                      </w:p>
                    </w:tc>
                    <w:tc>
                      <w:tcPr>
                        <w:tcW w:w="3296"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r>
                          <w:rPr>
                            <w:rFonts w:hint="eastAsia"/>
                          </w:rPr>
                          <w:t>体系</w:t>
                        </w:r>
                      </w:p>
                    </w:tc>
                    <w:tc>
                      <w:tcPr>
                        <w:tcW w:w="1843" w:type="dxa"/>
                      </w:tcPr>
                      <w:p>
                        <w:r>
                          <w:rPr>
                            <w:rFonts w:hint="eastAsia"/>
                          </w:rPr>
                          <w:t>内部审核</w:t>
                        </w:r>
                      </w:p>
                    </w:tc>
                    <w:tc>
                      <w:tcPr>
                        <w:tcW w:w="1559" w:type="dxa"/>
                      </w:tcPr>
                      <w:p>
                        <w:r>
                          <w:rPr>
                            <w:rFonts w:hint="eastAsia"/>
                            <w:color w:val="000000"/>
                            <w:szCs w:val="21"/>
                          </w:rPr>
                          <w:t>□</w:t>
                        </w:r>
                        <w:r>
                          <w:rPr>
                            <w:rFonts w:hint="eastAsia"/>
                          </w:rPr>
                          <w:t>按年度内审计划</w:t>
                        </w:r>
                      </w:p>
                      <w:p>
                        <w:r>
                          <w:rPr>
                            <w:rFonts w:hint="eastAsia"/>
                            <w:color w:val="000000"/>
                            <w:szCs w:val="21"/>
                          </w:rPr>
                          <w:t>☑</w:t>
                        </w:r>
                        <w:r>
                          <w:rPr>
                            <w:rFonts w:hint="eastAsia"/>
                          </w:rPr>
                          <w:t>每年一次</w:t>
                        </w:r>
                      </w:p>
                      <w:p>
                        <w:r>
                          <w:rPr>
                            <w:rFonts w:hint="eastAsia"/>
                            <w:color w:val="000000"/>
                            <w:szCs w:val="21"/>
                          </w:rPr>
                          <w:t>□特殊情况增加</w:t>
                        </w:r>
                      </w:p>
                    </w:tc>
                    <w:tc>
                      <w:tcPr>
                        <w:tcW w:w="1276" w:type="dxa"/>
                      </w:tcPr>
                      <w:p>
                        <w:r>
                          <w:rPr>
                            <w:rFonts w:hint="eastAsia"/>
                          </w:rPr>
                          <w:t>对内审不符合项进行分析</w:t>
                        </w:r>
                      </w:p>
                    </w:tc>
                    <w:tc>
                      <w:tcPr>
                        <w:tcW w:w="3296"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r>
                          <w:rPr>
                            <w:rFonts w:hint="eastAsia"/>
                          </w:rPr>
                          <w:t>体系有效性</w:t>
                        </w:r>
                      </w:p>
                    </w:tc>
                    <w:tc>
                      <w:tcPr>
                        <w:tcW w:w="1843" w:type="dxa"/>
                      </w:tcPr>
                      <w:p>
                        <w:r>
                          <w:rPr>
                            <w:rFonts w:hint="eastAsia"/>
                          </w:rPr>
                          <w:t>管理评审</w:t>
                        </w:r>
                      </w:p>
                    </w:tc>
                    <w:tc>
                      <w:tcPr>
                        <w:tcW w:w="1559" w:type="dxa"/>
                      </w:tcPr>
                      <w:p>
                        <w:r>
                          <w:rPr>
                            <w:rFonts w:hint="eastAsia"/>
                            <w:color w:val="000000"/>
                            <w:szCs w:val="21"/>
                          </w:rPr>
                          <w:t>☑</w:t>
                        </w:r>
                        <w:r>
                          <w:rPr>
                            <w:rFonts w:hint="eastAsia"/>
                          </w:rPr>
                          <w:t>每年一次</w:t>
                        </w:r>
                      </w:p>
                      <w:p>
                        <w:r>
                          <w:rPr>
                            <w:rFonts w:hint="eastAsia"/>
                            <w:color w:val="000000"/>
                            <w:szCs w:val="21"/>
                          </w:rPr>
                          <w:t>□特殊情况增加</w:t>
                        </w:r>
                      </w:p>
                    </w:tc>
                    <w:tc>
                      <w:tcPr>
                        <w:tcW w:w="1276" w:type="dxa"/>
                      </w:tcPr>
                      <w:p>
                        <w:r>
                          <w:rPr>
                            <w:rFonts w:hint="eastAsia"/>
                          </w:rPr>
                          <w:t>对QMS存在的需要问题进行分析</w:t>
                        </w:r>
                      </w:p>
                    </w:tc>
                    <w:tc>
                      <w:tcPr>
                        <w:tcW w:w="3296"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r>
                          <w:rPr>
                            <w:rFonts w:hint="eastAsia"/>
                          </w:rPr>
                          <w:t>顾客满意</w:t>
                        </w:r>
                      </w:p>
                    </w:tc>
                    <w:tc>
                      <w:tcPr>
                        <w:tcW w:w="1843" w:type="dxa"/>
                      </w:tcPr>
                      <w:p>
                        <w:r>
                          <w:rPr>
                            <w:rFonts w:hint="eastAsia"/>
                          </w:rPr>
                          <w:t>问卷调查</w:t>
                        </w:r>
                      </w:p>
                    </w:tc>
                    <w:tc>
                      <w:tcPr>
                        <w:tcW w:w="1559" w:type="dxa"/>
                      </w:tcPr>
                      <w:p>
                        <w:r>
                          <w:rPr>
                            <w:rFonts w:hint="eastAsia"/>
                            <w:color w:val="000000"/>
                            <w:szCs w:val="21"/>
                          </w:rPr>
                          <w:t>☑</w:t>
                        </w:r>
                        <w:r>
                          <w:rPr>
                            <w:rFonts w:hint="eastAsia"/>
                          </w:rPr>
                          <w:t>每年一次</w:t>
                        </w:r>
                      </w:p>
                      <w:p>
                        <w:r>
                          <w:rPr>
                            <w:rFonts w:hint="eastAsia"/>
                            <w:color w:val="000000"/>
                            <w:szCs w:val="21"/>
                          </w:rPr>
                          <w:t>□</w:t>
                        </w:r>
                      </w:p>
                    </w:tc>
                    <w:tc>
                      <w:tcPr>
                        <w:tcW w:w="1276" w:type="dxa"/>
                      </w:tcPr>
                      <w:p>
                        <w:r>
                          <w:rPr>
                            <w:rFonts w:hint="eastAsia"/>
                          </w:rPr>
                          <w:t>对顾客满意率进行统计</w:t>
                        </w:r>
                      </w:p>
                    </w:tc>
                    <w:tc>
                      <w:tcPr>
                        <w:tcW w:w="3296"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bl>
                <w:p>
                  <w:pPr>
                    <w:rPr>
                      <w:highlight w:val="cyan"/>
                    </w:rPr>
                  </w:pPr>
                </w:p>
                <w:p/>
              </w:tc>
            </w:tr>
          </w:tbl>
          <w:p/>
        </w:tc>
        <w:tc>
          <w:tcPr>
            <w:tcW w:w="14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Merge w:val="restart"/>
          </w:tcPr>
          <w:p>
            <w:r>
              <w:rPr>
                <w:rFonts w:hint="eastAsia"/>
              </w:rPr>
              <w:t>管理评审</w:t>
            </w:r>
          </w:p>
        </w:tc>
        <w:tc>
          <w:tcPr>
            <w:tcW w:w="960" w:type="dxa"/>
            <w:vMerge w:val="restart"/>
          </w:tcPr>
          <w:p>
            <w:r>
              <w:rPr>
                <w:rFonts w:hint="eastAsia"/>
              </w:rPr>
              <w:t>Q9.3</w:t>
            </w:r>
          </w:p>
        </w:tc>
        <w:tc>
          <w:tcPr>
            <w:tcW w:w="745" w:type="dxa"/>
          </w:tcPr>
          <w:p>
            <w:r>
              <w:rPr>
                <w:rFonts w:hint="eastAsia"/>
              </w:rPr>
              <w:t>文件名称</w:t>
            </w:r>
          </w:p>
        </w:tc>
        <w:tc>
          <w:tcPr>
            <w:tcW w:w="9426" w:type="dxa"/>
          </w:tcPr>
          <w:p>
            <w:r>
              <w:rPr>
                <w:rFonts w:hint="eastAsia"/>
              </w:rPr>
              <w:t>如：</w:t>
            </w:r>
            <w:r>
              <w:rPr>
                <w:rFonts w:hint="eastAsia"/>
              </w:rPr>
              <w:sym w:font="Wingdings" w:char="00FE"/>
            </w:r>
            <w:r>
              <w:rPr>
                <w:rFonts w:hint="eastAsia"/>
              </w:rPr>
              <w:t>《管理评审控制程序》</w:t>
            </w:r>
            <w:r>
              <w:rPr>
                <w:rFonts w:hint="eastAsia"/>
              </w:rPr>
              <w:sym w:font="Wingdings" w:char="00FE"/>
            </w:r>
            <w:r>
              <w:rPr>
                <w:rFonts w:hint="eastAsia"/>
              </w:rPr>
              <w:t>手册第9.3条款</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vMerge w:val="continue"/>
          </w:tcPr>
          <w:p/>
        </w:tc>
        <w:tc>
          <w:tcPr>
            <w:tcW w:w="960" w:type="dxa"/>
            <w:vMerge w:val="continue"/>
          </w:tcPr>
          <w:p/>
        </w:tc>
        <w:tc>
          <w:tcPr>
            <w:tcW w:w="745" w:type="dxa"/>
          </w:tcPr>
          <w:p>
            <w:pPr>
              <w:widowControl/>
              <w:spacing w:before="40"/>
              <w:jc w:val="left"/>
              <w:rPr>
                <w:color w:val="000000"/>
                <w:szCs w:val="18"/>
              </w:rPr>
            </w:pPr>
          </w:p>
          <w:p>
            <w:r>
              <w:rPr>
                <w:rFonts w:hint="eastAsia"/>
              </w:rPr>
              <w:t>运行证据</w:t>
            </w:r>
          </w:p>
        </w:tc>
        <w:tc>
          <w:tcPr>
            <w:tcW w:w="9426" w:type="dxa"/>
          </w:tcPr>
          <w:p>
            <w:pPr>
              <w:widowControl/>
              <w:spacing w:before="40"/>
              <w:jc w:val="left"/>
              <w:rPr>
                <w:color w:val="000000"/>
                <w:szCs w:val="18"/>
              </w:rPr>
            </w:pPr>
            <w:r>
              <w:rPr>
                <w:rFonts w:hint="eastAsia"/>
                <w:color w:val="000000"/>
                <w:szCs w:val="18"/>
              </w:rPr>
              <w:t>自</w:t>
            </w:r>
            <w:r>
              <w:rPr/>
              <w:sym w:font="Wingdings" w:char="00FE"/>
            </w:r>
            <w:r>
              <w:rPr>
                <w:rFonts w:hint="eastAsia"/>
                <w:color w:val="000000"/>
                <w:szCs w:val="18"/>
              </w:rPr>
              <w:t>管理体系建立后/</w:t>
            </w:r>
            <w:r>
              <w:rPr/>
              <w:sym w:font="Wingdings" w:char="00A8"/>
            </w:r>
            <w:r>
              <w:rPr>
                <w:rFonts w:hint="eastAsia"/>
              </w:rPr>
              <w:t>近一年</w:t>
            </w:r>
            <w:r>
              <w:rPr>
                <w:rFonts w:hint="eastAsia"/>
                <w:color w:val="000000"/>
                <w:szCs w:val="18"/>
              </w:rPr>
              <w:t>，于</w:t>
            </w:r>
            <w:r>
              <w:rPr>
                <w:rFonts w:hint="eastAsia"/>
                <w:color w:val="000000"/>
                <w:szCs w:val="18"/>
                <w:u w:val="single"/>
              </w:rPr>
              <w:t xml:space="preserve"> 202</w:t>
            </w:r>
            <w:r>
              <w:rPr>
                <w:rFonts w:hint="eastAsia"/>
                <w:color w:val="000000"/>
                <w:szCs w:val="18"/>
                <w:u w:val="single"/>
                <w:lang w:val="en-US" w:eastAsia="zh-CN"/>
              </w:rPr>
              <w:t>1</w:t>
            </w:r>
            <w:r>
              <w:rPr>
                <w:color w:val="000000"/>
                <w:szCs w:val="18"/>
                <w:u w:val="single"/>
              </w:rPr>
              <w:t xml:space="preserve"> </w:t>
            </w:r>
            <w:r>
              <w:rPr>
                <w:rFonts w:hint="eastAsia"/>
                <w:color w:val="000000"/>
                <w:szCs w:val="18"/>
              </w:rPr>
              <w:t>年</w:t>
            </w:r>
            <w:r>
              <w:rPr>
                <w:rFonts w:hint="eastAsia"/>
                <w:color w:val="000000"/>
                <w:szCs w:val="18"/>
                <w:u w:val="single"/>
              </w:rPr>
              <w:t xml:space="preserve"> 5月</w:t>
            </w:r>
            <w:r>
              <w:rPr>
                <w:color w:val="000000"/>
                <w:szCs w:val="18"/>
                <w:u w:val="single"/>
              </w:rPr>
              <w:t xml:space="preserve"> </w:t>
            </w:r>
            <w:r>
              <w:rPr>
                <w:rFonts w:hint="eastAsia"/>
                <w:color w:val="000000"/>
                <w:szCs w:val="18"/>
                <w:u w:val="single"/>
              </w:rPr>
              <w:t>20</w:t>
            </w:r>
            <w:r>
              <w:rPr>
                <w:rFonts w:hint="eastAsia"/>
                <w:color w:val="000000"/>
                <w:szCs w:val="18"/>
              </w:rPr>
              <w:t>施了管理评审；</w:t>
            </w:r>
          </w:p>
          <w:p>
            <w:pPr>
              <w:widowControl/>
              <w:spacing w:before="40"/>
              <w:jc w:val="left"/>
              <w:rPr>
                <w:color w:val="000000"/>
                <w:szCs w:val="18"/>
              </w:rPr>
            </w:pPr>
            <w:r>
              <w:rPr>
                <w:rFonts w:hint="eastAsia"/>
                <w:color w:val="000000"/>
                <w:szCs w:val="18"/>
              </w:rPr>
              <w:t>查看</w:t>
            </w:r>
            <w:r>
              <w:rPr>
                <w:rFonts w:hint="eastAsia"/>
                <w:color w:val="000000"/>
                <w:szCs w:val="21"/>
              </w:rPr>
              <w:t>☑管理评审计划  ☑管理评审记录（工作总结）  □管理评审纪要  ☑管理评审报告</w:t>
            </w:r>
          </w:p>
          <w:p>
            <w:pPr>
              <w:widowControl/>
              <w:spacing w:before="40"/>
              <w:jc w:val="left"/>
              <w:rPr>
                <w:color w:val="000000"/>
                <w:szCs w:val="21"/>
              </w:rPr>
            </w:pP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990"/>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color w:val="000000"/>
                      <w:szCs w:val="21"/>
                    </w:rPr>
                    <w:t>管理评审输入信息</w:t>
                  </w:r>
                </w:p>
              </w:tc>
              <w:tc>
                <w:tcPr>
                  <w:tcW w:w="1990" w:type="dxa"/>
                </w:tcPr>
                <w:p>
                  <w:pPr>
                    <w:widowControl/>
                    <w:spacing w:before="40"/>
                    <w:jc w:val="left"/>
                    <w:rPr>
                      <w:color w:val="000000"/>
                      <w:szCs w:val="21"/>
                    </w:rPr>
                  </w:pPr>
                  <w:r>
                    <w:rPr>
                      <w:rFonts w:hint="eastAsia"/>
                      <w:color w:val="000000"/>
                      <w:szCs w:val="21"/>
                    </w:rPr>
                    <w:t>评价</w:t>
                  </w:r>
                </w:p>
              </w:tc>
              <w:tc>
                <w:tcPr>
                  <w:tcW w:w="2816" w:type="dxa"/>
                </w:tcPr>
                <w:p>
                  <w:pPr>
                    <w:widowControl/>
                    <w:spacing w:before="40"/>
                    <w:jc w:val="left"/>
                    <w:rPr>
                      <w:color w:val="000000"/>
                      <w:szCs w:val="21"/>
                    </w:rPr>
                  </w:pPr>
                  <w:r>
                    <w:rPr>
                      <w:rFonts w:hint="eastAsia"/>
                      <w:color w:val="000000"/>
                      <w:szCs w:val="21"/>
                    </w:rPr>
                    <w:t>列举描述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以往管理评审所采取措施的情况；</w:t>
                  </w:r>
                </w:p>
              </w:tc>
              <w:tc>
                <w:tcPr>
                  <w:tcW w:w="1990" w:type="dxa"/>
                </w:tcPr>
                <w:p>
                  <w:pPr>
                    <w:widowControl/>
                    <w:spacing w:before="40"/>
                    <w:jc w:val="left"/>
                    <w:rPr>
                      <w:color w:val="000000"/>
                      <w:szCs w:val="21"/>
                    </w:rPr>
                  </w:pPr>
                  <w:r>
                    <w:rPr>
                      <w:rFonts w:hint="eastAsia"/>
                      <w:color w:val="000000"/>
                      <w:szCs w:val="21"/>
                    </w:rPr>
                    <w:sym w:font="Wingdings 2" w:char="0052"/>
                  </w:r>
                  <w:r>
                    <w:rPr>
                      <w:rFonts w:hint="eastAsia"/>
                      <w:color w:val="000000"/>
                      <w:szCs w:val="21"/>
                    </w:rPr>
                    <w:t xml:space="preserve">符合 </w:t>
                  </w:r>
                  <w:r>
                    <w:rPr>
                      <w:rFonts w:hint="eastAsia"/>
                      <w:color w:val="000000"/>
                      <w:szCs w:val="21"/>
                      <w:lang w:eastAsia="zh-CN"/>
                    </w:rPr>
                    <w:t>□</w:t>
                  </w:r>
                  <w:r>
                    <w:rPr>
                      <w:rFonts w:hint="eastAsia"/>
                      <w:color w:val="000000"/>
                      <w:szCs w:val="21"/>
                    </w:rPr>
                    <w:t>不符合</w:t>
                  </w:r>
                </w:p>
              </w:tc>
              <w:tc>
                <w:tcPr>
                  <w:tcW w:w="2816" w:type="dxa"/>
                </w:tcPr>
                <w:p>
                  <w:pPr>
                    <w:widowControl/>
                    <w:spacing w:before="40"/>
                    <w:jc w:val="left"/>
                    <w:rPr>
                      <w:rFonts w:hint="eastAsia" w:eastAsia="宋体"/>
                      <w:color w:val="000000"/>
                      <w:szCs w:val="21"/>
                      <w:highlight w:val="cyan"/>
                      <w:lang w:val="en-US" w:eastAsia="zh-CN"/>
                    </w:rPr>
                  </w:pPr>
                  <w:r>
                    <w:rPr>
                      <w:rFonts w:hint="eastAsia"/>
                      <w:color w:val="000000"/>
                      <w:szCs w:val="21"/>
                      <w:highlight w:val="cyan"/>
                      <w:lang w:val="en-US" w:eastAsia="zh-CN"/>
                    </w:rPr>
                    <w:t>培训已落实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与质量管理体系相关的内外部因素的变化；</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顾客满意和有关相关方的反馈及趋势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满足顾客及相关方需求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质量目标的实现程度及趋势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完成质量目标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过程绩效以及产品和服务的合格情况及趋势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生产及质量目标达标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不合格及纠正措施及趋势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无质量投诉，内审不符合已改进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监视和测量结果及趋势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2020年</w:t>
                  </w:r>
                  <w:r>
                    <w:rPr>
                      <w:rFonts w:hint="eastAsia"/>
                      <w:color w:val="000000"/>
                      <w:szCs w:val="21"/>
                      <w:lang w:val="en-US" w:eastAsia="zh-CN"/>
                    </w:rPr>
                    <w:t>至今</w:t>
                  </w:r>
                  <w:r>
                    <w:rPr>
                      <w:rFonts w:hint="eastAsia"/>
                      <w:color w:val="000000"/>
                      <w:szCs w:val="21"/>
                    </w:rPr>
                    <w:t>目标我完成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内审、外部审核结果及趋势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外部供方的绩效及趋势</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进行供应商评鉴，合格供方未变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资源的充分性；</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可以达标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7" w:type="dxa"/>
                </w:tcPr>
                <w:p>
                  <w:pPr>
                    <w:widowControl/>
                    <w:spacing w:before="40"/>
                    <w:jc w:val="left"/>
                    <w:rPr>
                      <w:color w:val="000000"/>
                      <w:szCs w:val="21"/>
                    </w:rPr>
                  </w:pPr>
                  <w:r>
                    <w:rPr>
                      <w:rFonts w:hint="eastAsia"/>
                    </w:rPr>
                    <w:t>应对风险和机遇所采取措施的有效性</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pPr>
                  <w:r>
                    <w:rPr>
                      <w:rFonts w:hint="eastAsia"/>
                    </w:rPr>
                    <w:t>改进的机会</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暂无</w:t>
                  </w:r>
                </w:p>
              </w:tc>
            </w:tr>
          </w:tbl>
          <w:p>
            <w:pPr>
              <w:widowControl/>
              <w:spacing w:before="40"/>
              <w:jc w:val="left"/>
              <w:rPr>
                <w:color w:val="000000"/>
                <w:szCs w:val="21"/>
                <w:highlight w:val="cyan"/>
              </w:rPr>
            </w:pP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4620"/>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color w:val="000000"/>
                      <w:szCs w:val="18"/>
                    </w:rPr>
                    <w:t>管理评审输出信息</w:t>
                  </w:r>
                </w:p>
              </w:tc>
              <w:tc>
                <w:tcPr>
                  <w:tcW w:w="4620" w:type="dxa"/>
                </w:tcPr>
                <w:p>
                  <w:pPr>
                    <w:widowControl/>
                    <w:spacing w:before="40"/>
                    <w:jc w:val="left"/>
                    <w:rPr>
                      <w:color w:val="000000"/>
                      <w:szCs w:val="21"/>
                    </w:rPr>
                  </w:pPr>
                  <w:r>
                    <w:rPr>
                      <w:rFonts w:hint="eastAsia"/>
                      <w:color w:val="000000"/>
                      <w:szCs w:val="21"/>
                    </w:rPr>
                    <w:t>措施描述</w:t>
                  </w:r>
                </w:p>
              </w:tc>
              <w:tc>
                <w:tcPr>
                  <w:tcW w:w="2496" w:type="dxa"/>
                </w:tcPr>
                <w:p>
                  <w:pPr>
                    <w:widowControl/>
                    <w:spacing w:before="40"/>
                    <w:jc w:val="left"/>
                    <w:rPr>
                      <w:color w:val="000000"/>
                      <w:szCs w:val="21"/>
                    </w:rPr>
                  </w:pPr>
                  <w:r>
                    <w:rPr>
                      <w:rFonts w:hint="eastAsia"/>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rPr>
                    <w:t>改进的机会</w:t>
                  </w:r>
                </w:p>
              </w:tc>
              <w:tc>
                <w:tcPr>
                  <w:tcW w:w="4620" w:type="dxa"/>
                </w:tcPr>
                <w:p>
                  <w:pPr>
                    <w:widowControl/>
                    <w:spacing w:before="40"/>
                    <w:jc w:val="left"/>
                    <w:rPr>
                      <w:rFonts w:eastAsia="仿宋_GB2312"/>
                      <w:color w:val="000000"/>
                      <w:szCs w:val="21"/>
                    </w:rPr>
                  </w:pPr>
                  <w:r>
                    <w:rPr>
                      <w:rFonts w:hint="eastAsia"/>
                      <w:szCs w:val="22"/>
                    </w:rPr>
                    <w:t>对ISO9001标准仍然不够熟悉，组织一次培训，学习标准及手册、程序要点。</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rPr>
                    <w:t>质量管理体系所需的变更</w:t>
                  </w:r>
                </w:p>
              </w:tc>
              <w:tc>
                <w:tcPr>
                  <w:tcW w:w="4620" w:type="dxa"/>
                </w:tcPr>
                <w:p>
                  <w:pPr>
                    <w:widowControl/>
                    <w:spacing w:before="40"/>
                    <w:jc w:val="left"/>
                    <w:rPr>
                      <w:color w:val="000000"/>
                      <w:szCs w:val="21"/>
                    </w:rPr>
                  </w:pPr>
                  <w:r>
                    <w:rPr>
                      <w:rFonts w:hint="eastAsia"/>
                      <w:color w:val="000000"/>
                      <w:szCs w:val="21"/>
                    </w:rPr>
                    <w:t>无</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rPr>
                    <w:t>资源需求</w:t>
                  </w:r>
                </w:p>
              </w:tc>
              <w:tc>
                <w:tcPr>
                  <w:tcW w:w="4620" w:type="dxa"/>
                </w:tcPr>
                <w:p>
                  <w:pPr>
                    <w:widowControl/>
                    <w:spacing w:before="40"/>
                    <w:jc w:val="left"/>
                    <w:rPr>
                      <w:rFonts w:hint="default" w:eastAsia="宋体"/>
                      <w:color w:val="000000"/>
                      <w:szCs w:val="21"/>
                      <w:lang w:val="en-US" w:eastAsia="zh-CN"/>
                    </w:rPr>
                  </w:pPr>
                  <w:r>
                    <w:rPr>
                      <w:rFonts w:hint="eastAsia"/>
                      <w:color w:val="000000"/>
                      <w:szCs w:val="21"/>
                      <w:lang w:val="en-US" w:eastAsia="zh-CN"/>
                    </w:rPr>
                    <w:t>开发市场</w:t>
                  </w:r>
                </w:p>
              </w:tc>
              <w:tc>
                <w:tcPr>
                  <w:tcW w:w="2496" w:type="dxa"/>
                </w:tcPr>
                <w:p>
                  <w:pPr>
                    <w:widowControl/>
                    <w:spacing w:before="40"/>
                    <w:jc w:val="left"/>
                    <w:rPr>
                      <w:color w:val="000000"/>
                      <w:szCs w:val="21"/>
                    </w:rPr>
                  </w:pPr>
                  <w:r>
                    <w:rPr>
                      <w:rFonts w:hint="eastAsia"/>
                      <w:color w:val="000000"/>
                      <w:szCs w:val="21"/>
                      <w:lang w:eastAsia="zh-CN"/>
                    </w:rPr>
                    <w:t>□</w:t>
                  </w:r>
                  <w:r>
                    <w:rPr>
                      <w:rFonts w:hint="eastAsia"/>
                    </w:rPr>
                    <w:t>已落实</w:t>
                  </w:r>
                  <w:r>
                    <w:rPr>
                      <w:rFonts w:hint="eastAsia"/>
                      <w:color w:val="000000"/>
                      <w:szCs w:val="21"/>
                    </w:rPr>
                    <w:t xml:space="preserve"> </w:t>
                  </w:r>
                  <w:r>
                    <w:rPr>
                      <w:rFonts w:hint="eastAsia"/>
                      <w:color w:val="000000"/>
                      <w:szCs w:val="21"/>
                    </w:rPr>
                    <w:sym w:font="Wingdings 2" w:char="0052"/>
                  </w:r>
                  <w:r>
                    <w:rPr>
                      <w:rFonts w:hint="eastAsia"/>
                    </w:rPr>
                    <w:t>已部分落实</w:t>
                  </w:r>
                </w:p>
              </w:tc>
            </w:tr>
          </w:tbl>
          <w:p>
            <w:pPr>
              <w:rPr>
                <w:highlight w:val="cyan"/>
              </w:rPr>
            </w:pPr>
          </w:p>
          <w:p>
            <w:pPr>
              <w:rPr>
                <w:highlight w:val="cyan"/>
              </w:rPr>
            </w:pP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r>
              <w:rPr>
                <w:rFonts w:hint="eastAsia"/>
              </w:rPr>
              <w:t>监视、测量、分析和评价</w:t>
            </w:r>
          </w:p>
          <w:p>
            <w:pPr>
              <w:rPr>
                <w:color w:val="FF0000"/>
              </w:rPr>
            </w:pPr>
          </w:p>
        </w:tc>
        <w:tc>
          <w:tcPr>
            <w:tcW w:w="960" w:type="dxa"/>
            <w:vMerge w:val="restart"/>
          </w:tcPr>
          <w:p>
            <w:r>
              <w:rPr>
                <w:rFonts w:hint="eastAsia"/>
              </w:rPr>
              <w:t>Q9.1.1</w:t>
            </w:r>
          </w:p>
        </w:tc>
        <w:tc>
          <w:tcPr>
            <w:tcW w:w="745" w:type="dxa"/>
          </w:tcPr>
          <w:p>
            <w:r>
              <w:rPr>
                <w:rFonts w:hint="eastAsia"/>
              </w:rPr>
              <w:t>文件名称</w:t>
            </w:r>
          </w:p>
        </w:tc>
        <w:tc>
          <w:tcPr>
            <w:tcW w:w="9426" w:type="dxa"/>
          </w:tcPr>
          <w:p>
            <w:r>
              <w:rPr>
                <w:rFonts w:hint="eastAsia"/>
              </w:rPr>
              <w:t>如：</w:t>
            </w:r>
            <w:r>
              <w:rPr>
                <w:rFonts w:hint="eastAsia"/>
              </w:rPr>
              <w:sym w:font="Wingdings" w:char="00FE"/>
            </w:r>
            <w:r>
              <w:rPr>
                <w:rFonts w:hint="eastAsia"/>
              </w:rPr>
              <w:t>管理手册9.1.1章，</w:t>
            </w:r>
            <w:r>
              <w:rPr>
                <w:rFonts w:hint="eastAsia"/>
              </w:rPr>
              <w:sym w:font="Wingdings" w:char="00FE"/>
            </w:r>
            <w:r>
              <w:rPr>
                <w:rFonts w:hint="eastAsia"/>
              </w:rPr>
              <w:t>《监视、测量、分析和评价控制程序》</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r>
              <w:rPr>
                <w:rFonts w:hint="eastAsia"/>
              </w:rPr>
              <w:t>组织对监视和测量的策划</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843"/>
              <w:gridCol w:w="1986"/>
              <w:gridCol w:w="1887"/>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监视和测量的对象</w:t>
                  </w:r>
                </w:p>
              </w:tc>
              <w:tc>
                <w:tcPr>
                  <w:tcW w:w="1843" w:type="dxa"/>
                </w:tcPr>
                <w:p>
                  <w:r>
                    <w:rPr>
                      <w:rFonts w:hint="eastAsia"/>
                    </w:rPr>
                    <w:t>监视、测量的方法</w:t>
                  </w:r>
                </w:p>
              </w:tc>
              <w:tc>
                <w:tcPr>
                  <w:tcW w:w="1986" w:type="dxa"/>
                </w:tcPr>
                <w:p>
                  <w:r>
                    <w:rPr>
                      <w:rFonts w:hint="eastAsia"/>
                    </w:rPr>
                    <w:t>监视和测量的频次和时机</w:t>
                  </w:r>
                </w:p>
              </w:tc>
              <w:tc>
                <w:tcPr>
                  <w:tcW w:w="1887" w:type="dxa"/>
                </w:tcPr>
                <w:p>
                  <w:r>
                    <w:rPr>
                      <w:rFonts w:hint="eastAsia"/>
                    </w:rPr>
                    <w:t>分析和评价的方法</w:t>
                  </w:r>
                </w:p>
              </w:tc>
              <w:tc>
                <w:tcPr>
                  <w:tcW w:w="2034" w:type="dxa"/>
                </w:tcPr>
                <w:p>
                  <w:r>
                    <w:rPr>
                      <w:rFonts w:hint="eastAsia"/>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产品</w:t>
                  </w:r>
                </w:p>
              </w:tc>
              <w:tc>
                <w:tcPr>
                  <w:tcW w:w="1843" w:type="dxa"/>
                </w:tcPr>
                <w:p>
                  <w:r>
                    <w:rPr>
                      <w:rFonts w:hint="eastAsia"/>
                    </w:rPr>
                    <w:t>产品（原材料、半成品、成品）检验</w:t>
                  </w:r>
                </w:p>
              </w:tc>
              <w:tc>
                <w:tcPr>
                  <w:tcW w:w="1986" w:type="dxa"/>
                </w:tcPr>
                <w:p>
                  <w:r>
                    <w:rPr>
                      <w:rFonts w:hint="eastAsia"/>
                      <w:color w:val="000000"/>
                      <w:szCs w:val="21"/>
                    </w:rPr>
                    <w:t>□</w:t>
                  </w:r>
                  <w:r>
                    <w:rPr>
                      <w:rFonts w:hint="eastAsia"/>
                    </w:rPr>
                    <w:t>见检验计划/规程</w:t>
                  </w:r>
                  <w:r>
                    <w:rPr>
                      <w:rFonts w:hint="eastAsia"/>
                      <w:color w:val="000000"/>
                      <w:szCs w:val="21"/>
                    </w:rPr>
                    <w:t>☑每批</w:t>
                  </w:r>
                </w:p>
              </w:tc>
              <w:tc>
                <w:tcPr>
                  <w:tcW w:w="1887" w:type="dxa"/>
                </w:tcPr>
                <w:p>
                  <w:r>
                    <w:rPr>
                      <w:rFonts w:hint="eastAsia"/>
                    </w:rPr>
                    <w:t>对产品合格率进行统计，</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过程</w:t>
                  </w:r>
                </w:p>
              </w:tc>
              <w:tc>
                <w:tcPr>
                  <w:tcW w:w="1843" w:type="dxa"/>
                </w:tcPr>
                <w:p>
                  <w:r>
                    <w:rPr>
                      <w:rFonts w:hint="eastAsia"/>
                    </w:rPr>
                    <w:t>现场巡视</w:t>
                  </w:r>
                </w:p>
                <w:p>
                  <w:r>
                    <w:rPr>
                      <w:rFonts w:hint="eastAsia"/>
                    </w:rPr>
                    <w:t>抽查记录</w:t>
                  </w:r>
                </w:p>
              </w:tc>
              <w:tc>
                <w:tcPr>
                  <w:tcW w:w="1986" w:type="dxa"/>
                </w:tcPr>
                <w:p>
                  <w:r>
                    <w:rPr>
                      <w:rFonts w:hint="eastAsia"/>
                      <w:color w:val="000000"/>
                      <w:szCs w:val="21"/>
                    </w:rPr>
                    <w:t>☑</w:t>
                  </w:r>
                  <w:r>
                    <w:rPr>
                      <w:rFonts w:hint="eastAsia"/>
                    </w:rPr>
                    <w:t>定期检查</w:t>
                  </w:r>
                </w:p>
                <w:p>
                  <w:r>
                    <w:rPr>
                      <w:rFonts w:hint="eastAsia"/>
                      <w:color w:val="000000"/>
                      <w:szCs w:val="21"/>
                    </w:rPr>
                    <w:t>☑</w:t>
                  </w:r>
                  <w:r>
                    <w:rPr>
                      <w:rFonts w:hint="eastAsia"/>
                    </w:rPr>
                    <w:t>抽查</w:t>
                  </w:r>
                </w:p>
              </w:tc>
              <w:tc>
                <w:tcPr>
                  <w:tcW w:w="1887" w:type="dxa"/>
                </w:tcPr>
                <w:p>
                  <w:r>
                    <w:rPr>
                      <w:rFonts w:hint="eastAsia"/>
                    </w:rPr>
                    <w:t>对质量目标/Cpk进行统计</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体系</w:t>
                  </w:r>
                </w:p>
              </w:tc>
              <w:tc>
                <w:tcPr>
                  <w:tcW w:w="1843" w:type="dxa"/>
                </w:tcPr>
                <w:p>
                  <w:r>
                    <w:rPr>
                      <w:rFonts w:hint="eastAsia"/>
                    </w:rPr>
                    <w:t>内部审核</w:t>
                  </w:r>
                </w:p>
              </w:tc>
              <w:tc>
                <w:tcPr>
                  <w:tcW w:w="1986" w:type="dxa"/>
                </w:tcPr>
                <w:p>
                  <w:r>
                    <w:rPr>
                      <w:rFonts w:hint="eastAsia"/>
                      <w:color w:val="000000"/>
                      <w:szCs w:val="21"/>
                    </w:rPr>
                    <w:t>□</w:t>
                  </w:r>
                  <w:r>
                    <w:rPr>
                      <w:rFonts w:hint="eastAsia"/>
                    </w:rPr>
                    <w:t>按年度内审计划</w:t>
                  </w:r>
                </w:p>
                <w:p>
                  <w:r>
                    <w:rPr>
                      <w:rFonts w:hint="eastAsia"/>
                      <w:color w:val="000000"/>
                      <w:szCs w:val="21"/>
                    </w:rPr>
                    <w:t>☑</w:t>
                  </w:r>
                  <w:r>
                    <w:rPr>
                      <w:rFonts w:hint="eastAsia"/>
                    </w:rPr>
                    <w:t>每年一次</w:t>
                  </w:r>
                </w:p>
                <w:p>
                  <w:r>
                    <w:rPr>
                      <w:rFonts w:hint="eastAsia"/>
                      <w:color w:val="000000"/>
                      <w:szCs w:val="21"/>
                    </w:rPr>
                    <w:t>□特殊情况增加</w:t>
                  </w:r>
                </w:p>
              </w:tc>
              <w:tc>
                <w:tcPr>
                  <w:tcW w:w="1887" w:type="dxa"/>
                </w:tcPr>
                <w:p>
                  <w:r>
                    <w:rPr>
                      <w:rFonts w:hint="eastAsia"/>
                    </w:rPr>
                    <w:t>对内审不符合项进行分析</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体系有效性</w:t>
                  </w:r>
                </w:p>
              </w:tc>
              <w:tc>
                <w:tcPr>
                  <w:tcW w:w="1843" w:type="dxa"/>
                </w:tcPr>
                <w:p>
                  <w:r>
                    <w:rPr>
                      <w:rFonts w:hint="eastAsia"/>
                    </w:rPr>
                    <w:t>管理评审</w:t>
                  </w:r>
                </w:p>
              </w:tc>
              <w:tc>
                <w:tcPr>
                  <w:tcW w:w="1986" w:type="dxa"/>
                </w:tcPr>
                <w:p>
                  <w:r>
                    <w:rPr>
                      <w:rFonts w:hint="eastAsia"/>
                      <w:color w:val="000000"/>
                      <w:szCs w:val="21"/>
                    </w:rPr>
                    <w:t>☑</w:t>
                  </w:r>
                  <w:r>
                    <w:rPr>
                      <w:rFonts w:hint="eastAsia"/>
                    </w:rPr>
                    <w:t>每年一次</w:t>
                  </w:r>
                </w:p>
                <w:p>
                  <w:r>
                    <w:rPr>
                      <w:rFonts w:hint="eastAsia"/>
                      <w:color w:val="000000"/>
                      <w:szCs w:val="21"/>
                    </w:rPr>
                    <w:t>□特殊情况增加</w:t>
                  </w:r>
                </w:p>
              </w:tc>
              <w:tc>
                <w:tcPr>
                  <w:tcW w:w="1887" w:type="dxa"/>
                </w:tcPr>
                <w:p>
                  <w:r>
                    <w:rPr>
                      <w:rFonts w:hint="eastAsia"/>
                    </w:rPr>
                    <w:t>对QMS存在的需要问题进行分析</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r>
                    <w:rPr>
                      <w:rFonts w:hint="eastAsia"/>
                    </w:rPr>
                    <w:t>顾客满意</w:t>
                  </w:r>
                </w:p>
              </w:tc>
              <w:tc>
                <w:tcPr>
                  <w:tcW w:w="1843" w:type="dxa"/>
                </w:tcPr>
                <w:p>
                  <w:r>
                    <w:rPr>
                      <w:rFonts w:hint="eastAsia"/>
                    </w:rPr>
                    <w:t>问卷调查</w:t>
                  </w:r>
                </w:p>
              </w:tc>
              <w:tc>
                <w:tcPr>
                  <w:tcW w:w="1986" w:type="dxa"/>
                </w:tcPr>
                <w:p>
                  <w:r>
                    <w:rPr>
                      <w:rFonts w:hint="eastAsia"/>
                      <w:color w:val="000000"/>
                      <w:szCs w:val="21"/>
                    </w:rPr>
                    <w:t>☑</w:t>
                  </w:r>
                  <w:r>
                    <w:rPr>
                      <w:rFonts w:hint="eastAsia"/>
                    </w:rPr>
                    <w:t>每年一次</w:t>
                  </w:r>
                </w:p>
                <w:p>
                  <w:r>
                    <w:rPr>
                      <w:rFonts w:hint="eastAsia"/>
                      <w:color w:val="000000"/>
                      <w:szCs w:val="21"/>
                    </w:rPr>
                    <w:t>□</w:t>
                  </w:r>
                </w:p>
              </w:tc>
              <w:tc>
                <w:tcPr>
                  <w:tcW w:w="1887" w:type="dxa"/>
                </w:tcPr>
                <w:p>
                  <w:r>
                    <w:rPr>
                      <w:rFonts w:hint="eastAsia"/>
                    </w:rPr>
                    <w:t>对顾客满意率进行统计</w:t>
                  </w:r>
                </w:p>
              </w:tc>
              <w:tc>
                <w:tcPr>
                  <w:tcW w:w="2034" w:type="dxa"/>
                </w:tcPr>
                <w:p>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rPr>
                    <w:t xml:space="preserve">每季度 </w:t>
                  </w:r>
                  <w:r>
                    <w:rPr>
                      <w:rFonts w:hint="eastAsia"/>
                      <w:color w:val="000000"/>
                      <w:szCs w:val="21"/>
                    </w:rPr>
                    <w:t>☑每年</w:t>
                  </w:r>
                </w:p>
              </w:tc>
            </w:tr>
          </w:tbl>
          <w:p>
            <w:pPr>
              <w:rPr>
                <w:highlight w:val="cyan"/>
              </w:rPr>
            </w:pPr>
          </w:p>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r>
              <w:rPr>
                <w:rFonts w:hint="eastAsia"/>
              </w:rPr>
              <w:t>改进</w:t>
            </w:r>
          </w:p>
        </w:tc>
        <w:tc>
          <w:tcPr>
            <w:tcW w:w="960" w:type="dxa"/>
            <w:vMerge w:val="restart"/>
          </w:tcPr>
          <w:p>
            <w:r>
              <w:rPr>
                <w:rFonts w:hint="eastAsia"/>
              </w:rPr>
              <w:t>Q10.1</w:t>
            </w:r>
          </w:p>
        </w:tc>
        <w:tc>
          <w:tcPr>
            <w:tcW w:w="745" w:type="dxa"/>
          </w:tcPr>
          <w:p>
            <w:r>
              <w:rPr>
                <w:rFonts w:hint="eastAsia"/>
              </w:rPr>
              <w:t>文件名称</w:t>
            </w:r>
          </w:p>
        </w:tc>
        <w:tc>
          <w:tcPr>
            <w:tcW w:w="9426" w:type="dxa"/>
          </w:tcPr>
          <w:p>
            <w:r>
              <w:rPr>
                <w:rFonts w:hint="eastAsia"/>
              </w:rPr>
              <w:t>如：</w:t>
            </w:r>
            <w:r>
              <w:rPr>
                <w:rFonts w:hint="eastAsia"/>
              </w:rPr>
              <w:sym w:font="Wingdings" w:char="00FE"/>
            </w:r>
            <w:r>
              <w:rPr>
                <w:rFonts w:hint="eastAsia"/>
              </w:rPr>
              <w:t>管理手册10.1章</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r>
              <w:rPr>
                <w:rFonts w:hint="eastAsia"/>
              </w:rPr>
              <w:t xml:space="preserve">组织确定和选择了改进机会，并采取必要措施，以满足顾客要求和增强顾客满意。 </w:t>
            </w:r>
          </w:p>
          <w:p>
            <w:r>
              <w:rPr>
                <w:rFonts w:hint="eastAsia"/>
              </w:rPr>
              <w:t xml:space="preserve">这包括： </w:t>
            </w:r>
          </w:p>
          <w:p>
            <w:r>
              <w:rPr>
                <w:rFonts w:hint="eastAsia"/>
              </w:rPr>
              <w:sym w:font="Wingdings" w:char="00FE"/>
            </w:r>
            <w:r>
              <w:rPr>
                <w:rFonts w:hint="eastAsia"/>
              </w:rPr>
              <w:t xml:space="preserve">改进产品和服务，以满足要求并应对未来的需求和期望； </w:t>
            </w:r>
          </w:p>
          <w:p>
            <w:r>
              <w:rPr>
                <w:rFonts w:hint="eastAsia"/>
              </w:rPr>
              <w:sym w:font="Wingdings" w:char="00FE"/>
            </w:r>
            <w:r>
              <w:rPr>
                <w:rFonts w:hint="eastAsia"/>
              </w:rPr>
              <w:t xml:space="preserve">纠正、预防或减少不利影响； </w:t>
            </w:r>
          </w:p>
          <w:p>
            <w:r>
              <w:rPr>
                <w:rFonts w:hint="eastAsia"/>
              </w:rPr>
              <w:sym w:font="Wingdings" w:char="00FE"/>
            </w:r>
            <w:r>
              <w:rPr>
                <w:rFonts w:hint="eastAsia"/>
              </w:rPr>
              <w:t xml:space="preserve">改进质量管理体系的绩效和有效性。 </w:t>
            </w:r>
          </w:p>
          <w:p/>
          <w:p>
            <w:r>
              <w:rPr>
                <w:rFonts w:hint="eastAsia"/>
              </w:rPr>
              <w:t xml:space="preserve">改进包括：纠正、纠正措施、持续改进、突破性变革、创新和重组。 </w:t>
            </w:r>
          </w:p>
        </w:tc>
        <w:tc>
          <w:tcPr>
            <w:tcW w:w="141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r>
              <w:rPr>
                <w:rFonts w:hint="eastAsia"/>
              </w:rPr>
              <w:t>10.3 持续改进</w:t>
            </w:r>
          </w:p>
          <w:p/>
        </w:tc>
        <w:tc>
          <w:tcPr>
            <w:tcW w:w="960" w:type="dxa"/>
            <w:vMerge w:val="restart"/>
          </w:tcPr>
          <w:p>
            <w:r>
              <w:rPr>
                <w:rFonts w:hint="eastAsia"/>
              </w:rPr>
              <w:t>Q10.3</w:t>
            </w:r>
          </w:p>
        </w:tc>
        <w:tc>
          <w:tcPr>
            <w:tcW w:w="745" w:type="dxa"/>
          </w:tcPr>
          <w:p>
            <w:r>
              <w:rPr>
                <w:rFonts w:hint="eastAsia"/>
              </w:rPr>
              <w:t>文件名称</w:t>
            </w:r>
          </w:p>
        </w:tc>
        <w:tc>
          <w:tcPr>
            <w:tcW w:w="9426" w:type="dxa"/>
          </w:tcPr>
          <w:p>
            <w:r>
              <w:rPr>
                <w:rFonts w:hint="eastAsia"/>
              </w:rPr>
              <w:t>如：</w:t>
            </w:r>
            <w:r>
              <w:rPr>
                <w:rFonts w:hint="eastAsia"/>
              </w:rPr>
              <w:sym w:font="Wingdings" w:char="00FE"/>
            </w:r>
            <w:r>
              <w:rPr>
                <w:rFonts w:hint="eastAsia"/>
              </w:rPr>
              <w:t>管理手册10.3章</w:t>
            </w:r>
          </w:p>
        </w:tc>
        <w:tc>
          <w:tcPr>
            <w:tcW w:w="1418" w:type="dxa"/>
            <w:vMerge w:val="restart"/>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tc>
        <w:tc>
          <w:tcPr>
            <w:tcW w:w="960" w:type="dxa"/>
            <w:vMerge w:val="continue"/>
          </w:tcPr>
          <w:p/>
        </w:tc>
        <w:tc>
          <w:tcPr>
            <w:tcW w:w="745" w:type="dxa"/>
          </w:tcPr>
          <w:p>
            <w:r>
              <w:rPr>
                <w:rFonts w:hint="eastAsia"/>
              </w:rPr>
              <w:t>运行证据</w:t>
            </w:r>
          </w:p>
        </w:tc>
        <w:tc>
          <w:tcPr>
            <w:tcW w:w="9426" w:type="dxa"/>
          </w:tcPr>
          <w:p>
            <w:r>
              <w:rPr>
                <w:rFonts w:hint="eastAsia"/>
              </w:rPr>
              <w:t xml:space="preserve">组织已持续改进质量管理体系的适宜性、充分性和有效性。 </w:t>
            </w:r>
          </w:p>
          <w:p>
            <w:r>
              <w:rPr>
                <w:rFonts w:hint="eastAsia"/>
              </w:rPr>
              <w:t>组织考虑了分析和评价的结果以及管理评审的输出，确定是否存在需求或机遇，这些需求或机遇应作为持续改进的一部分加以应对。</w:t>
            </w:r>
          </w:p>
          <w:p/>
          <w:p>
            <w:r>
              <w:rPr>
                <w:rFonts w:hint="eastAsia"/>
              </w:rPr>
              <w:sym w:font="Wingdings" w:char="00FE"/>
            </w:r>
            <w:r>
              <w:rPr>
                <w:rFonts w:hint="eastAsia"/>
              </w:rPr>
              <w:t xml:space="preserve"> 管理评审改进措施已落实</w:t>
            </w:r>
          </w:p>
          <w:p>
            <w:pPr>
              <w:rPr>
                <w:u w:val="single"/>
              </w:rPr>
            </w:pPr>
            <w:r>
              <w:rPr>
                <w:rFonts w:hint="eastAsia"/>
              </w:rPr>
              <w:sym w:font="Wingdings" w:char="00A8"/>
            </w:r>
            <w:r>
              <w:rPr>
                <w:rFonts w:hint="eastAsia"/>
              </w:rPr>
              <w:t xml:space="preserve"> 管理评审改进措施未落实的原因：</w:t>
            </w:r>
            <w:r>
              <w:rPr>
                <w:rFonts w:hint="eastAsia"/>
                <w:u w:val="single"/>
              </w:rPr>
              <w:t xml:space="preserve">                              </w:t>
            </w:r>
          </w:p>
          <w:p/>
        </w:tc>
        <w:tc>
          <w:tcPr>
            <w:tcW w:w="1418" w:type="dxa"/>
            <w:vMerge w:val="continue"/>
          </w:tcPr>
          <w:p/>
        </w:tc>
      </w:tr>
    </w:tbl>
    <w:p/>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MS Gothic"/>
    <w:panose1 w:val="02020609040205080304"/>
    <w:charset w:val="80"/>
    <w:family w:val="roman"/>
    <w:pitch w:val="default"/>
    <w:sig w:usb0="00000000" w:usb1="00000000" w:usb2="00000010" w:usb3="00000000" w:csb0="0002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194F9"/>
    <w:multiLevelType w:val="singleLevel"/>
    <w:tmpl w:val="19E194F9"/>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35603"/>
    <w:rsid w:val="000400E2"/>
    <w:rsid w:val="00043671"/>
    <w:rsid w:val="00047F85"/>
    <w:rsid w:val="00052E9F"/>
    <w:rsid w:val="00062E46"/>
    <w:rsid w:val="000A2303"/>
    <w:rsid w:val="000A3D35"/>
    <w:rsid w:val="000B3121"/>
    <w:rsid w:val="000C7BC8"/>
    <w:rsid w:val="000D09E0"/>
    <w:rsid w:val="000E6B21"/>
    <w:rsid w:val="00163698"/>
    <w:rsid w:val="00181AC2"/>
    <w:rsid w:val="00194580"/>
    <w:rsid w:val="001A2D7F"/>
    <w:rsid w:val="001A3ECF"/>
    <w:rsid w:val="001C109E"/>
    <w:rsid w:val="001C1EEC"/>
    <w:rsid w:val="001C5D30"/>
    <w:rsid w:val="001D485A"/>
    <w:rsid w:val="001D6BE3"/>
    <w:rsid w:val="0020368E"/>
    <w:rsid w:val="002054BE"/>
    <w:rsid w:val="00214705"/>
    <w:rsid w:val="00226071"/>
    <w:rsid w:val="00257414"/>
    <w:rsid w:val="0026374E"/>
    <w:rsid w:val="002703A1"/>
    <w:rsid w:val="00285F78"/>
    <w:rsid w:val="00287984"/>
    <w:rsid w:val="002939AD"/>
    <w:rsid w:val="002A57FE"/>
    <w:rsid w:val="002B46B2"/>
    <w:rsid w:val="002B5153"/>
    <w:rsid w:val="002B5D73"/>
    <w:rsid w:val="002F50FB"/>
    <w:rsid w:val="002F6A07"/>
    <w:rsid w:val="0030728E"/>
    <w:rsid w:val="00314AF6"/>
    <w:rsid w:val="00315FCF"/>
    <w:rsid w:val="0032303B"/>
    <w:rsid w:val="00337922"/>
    <w:rsid w:val="00340867"/>
    <w:rsid w:val="0034330B"/>
    <w:rsid w:val="0034540D"/>
    <w:rsid w:val="00350ACE"/>
    <w:rsid w:val="00352589"/>
    <w:rsid w:val="003714F4"/>
    <w:rsid w:val="00371EFE"/>
    <w:rsid w:val="00380837"/>
    <w:rsid w:val="00382304"/>
    <w:rsid w:val="00394913"/>
    <w:rsid w:val="003A198A"/>
    <w:rsid w:val="003A45CD"/>
    <w:rsid w:val="003D4553"/>
    <w:rsid w:val="003D7C45"/>
    <w:rsid w:val="003F570E"/>
    <w:rsid w:val="00404D55"/>
    <w:rsid w:val="00410914"/>
    <w:rsid w:val="00414D9F"/>
    <w:rsid w:val="00415127"/>
    <w:rsid w:val="00417490"/>
    <w:rsid w:val="00420D6F"/>
    <w:rsid w:val="00434AC6"/>
    <w:rsid w:val="00446D17"/>
    <w:rsid w:val="004509F8"/>
    <w:rsid w:val="00457643"/>
    <w:rsid w:val="00465CC3"/>
    <w:rsid w:val="0048136F"/>
    <w:rsid w:val="00481FFE"/>
    <w:rsid w:val="0048201E"/>
    <w:rsid w:val="00493B29"/>
    <w:rsid w:val="004950B6"/>
    <w:rsid w:val="004A24D7"/>
    <w:rsid w:val="004A7529"/>
    <w:rsid w:val="004B16EC"/>
    <w:rsid w:val="004B2CB9"/>
    <w:rsid w:val="004D52BF"/>
    <w:rsid w:val="00531604"/>
    <w:rsid w:val="00536930"/>
    <w:rsid w:val="00564E53"/>
    <w:rsid w:val="005666A1"/>
    <w:rsid w:val="00567CED"/>
    <w:rsid w:val="00573CF9"/>
    <w:rsid w:val="00587CF1"/>
    <w:rsid w:val="00597C92"/>
    <w:rsid w:val="005B20BD"/>
    <w:rsid w:val="005B65F0"/>
    <w:rsid w:val="005C1D19"/>
    <w:rsid w:val="005C6D49"/>
    <w:rsid w:val="005D096A"/>
    <w:rsid w:val="005D31E8"/>
    <w:rsid w:val="005D5659"/>
    <w:rsid w:val="00600C20"/>
    <w:rsid w:val="006216B2"/>
    <w:rsid w:val="00623CC4"/>
    <w:rsid w:val="0062587A"/>
    <w:rsid w:val="00644FE2"/>
    <w:rsid w:val="006624A5"/>
    <w:rsid w:val="00667C25"/>
    <w:rsid w:val="006758F6"/>
    <w:rsid w:val="0067640C"/>
    <w:rsid w:val="0068327D"/>
    <w:rsid w:val="00693B80"/>
    <w:rsid w:val="006A34B6"/>
    <w:rsid w:val="006C5364"/>
    <w:rsid w:val="006C5C0A"/>
    <w:rsid w:val="006C61C7"/>
    <w:rsid w:val="006C6629"/>
    <w:rsid w:val="006E678B"/>
    <w:rsid w:val="006E7B1D"/>
    <w:rsid w:val="00716E2A"/>
    <w:rsid w:val="00741AD2"/>
    <w:rsid w:val="00751FB9"/>
    <w:rsid w:val="007757F3"/>
    <w:rsid w:val="00792035"/>
    <w:rsid w:val="007C1B48"/>
    <w:rsid w:val="007E3B15"/>
    <w:rsid w:val="007E6AEB"/>
    <w:rsid w:val="00810FA8"/>
    <w:rsid w:val="00815D94"/>
    <w:rsid w:val="00831CF8"/>
    <w:rsid w:val="008427E6"/>
    <w:rsid w:val="00851400"/>
    <w:rsid w:val="00864668"/>
    <w:rsid w:val="00865758"/>
    <w:rsid w:val="008807D4"/>
    <w:rsid w:val="008862CE"/>
    <w:rsid w:val="00891A75"/>
    <w:rsid w:val="008973EE"/>
    <w:rsid w:val="008F78C0"/>
    <w:rsid w:val="00924712"/>
    <w:rsid w:val="00937EB2"/>
    <w:rsid w:val="00951CE6"/>
    <w:rsid w:val="009626D1"/>
    <w:rsid w:val="0096433A"/>
    <w:rsid w:val="00971600"/>
    <w:rsid w:val="00985F96"/>
    <w:rsid w:val="009942D2"/>
    <w:rsid w:val="009973B4"/>
    <w:rsid w:val="009C0920"/>
    <w:rsid w:val="009C10D7"/>
    <w:rsid w:val="009C28C1"/>
    <w:rsid w:val="009D32F4"/>
    <w:rsid w:val="009E0958"/>
    <w:rsid w:val="009F7EED"/>
    <w:rsid w:val="00A006D5"/>
    <w:rsid w:val="00A015C2"/>
    <w:rsid w:val="00A4750E"/>
    <w:rsid w:val="00A5770F"/>
    <w:rsid w:val="00A62846"/>
    <w:rsid w:val="00A80636"/>
    <w:rsid w:val="00A863B5"/>
    <w:rsid w:val="00A92149"/>
    <w:rsid w:val="00AD3B58"/>
    <w:rsid w:val="00AE2104"/>
    <w:rsid w:val="00AF0AAB"/>
    <w:rsid w:val="00B17DF7"/>
    <w:rsid w:val="00B2425F"/>
    <w:rsid w:val="00B260F9"/>
    <w:rsid w:val="00B36FE0"/>
    <w:rsid w:val="00B5718A"/>
    <w:rsid w:val="00B607CC"/>
    <w:rsid w:val="00B664BD"/>
    <w:rsid w:val="00BA25D3"/>
    <w:rsid w:val="00BA4ABC"/>
    <w:rsid w:val="00BA51AD"/>
    <w:rsid w:val="00BA62A5"/>
    <w:rsid w:val="00BB2F46"/>
    <w:rsid w:val="00BD41CF"/>
    <w:rsid w:val="00BD55F8"/>
    <w:rsid w:val="00BD7F8E"/>
    <w:rsid w:val="00BF597E"/>
    <w:rsid w:val="00C0101A"/>
    <w:rsid w:val="00C3300E"/>
    <w:rsid w:val="00C51A36"/>
    <w:rsid w:val="00C5281C"/>
    <w:rsid w:val="00C52F67"/>
    <w:rsid w:val="00C55228"/>
    <w:rsid w:val="00C63768"/>
    <w:rsid w:val="00C64956"/>
    <w:rsid w:val="00C8369A"/>
    <w:rsid w:val="00C83833"/>
    <w:rsid w:val="00CA6143"/>
    <w:rsid w:val="00CB0C6D"/>
    <w:rsid w:val="00CB6059"/>
    <w:rsid w:val="00CD5500"/>
    <w:rsid w:val="00CE315A"/>
    <w:rsid w:val="00D06F59"/>
    <w:rsid w:val="00D15794"/>
    <w:rsid w:val="00D2392F"/>
    <w:rsid w:val="00D2679B"/>
    <w:rsid w:val="00D56177"/>
    <w:rsid w:val="00D60790"/>
    <w:rsid w:val="00D75148"/>
    <w:rsid w:val="00D8388C"/>
    <w:rsid w:val="00D85C47"/>
    <w:rsid w:val="00D8636C"/>
    <w:rsid w:val="00D91251"/>
    <w:rsid w:val="00D93B29"/>
    <w:rsid w:val="00DA1D96"/>
    <w:rsid w:val="00DC0E98"/>
    <w:rsid w:val="00DC1BCC"/>
    <w:rsid w:val="00E01A7B"/>
    <w:rsid w:val="00E14A4F"/>
    <w:rsid w:val="00E4480A"/>
    <w:rsid w:val="00E44D68"/>
    <w:rsid w:val="00E4608B"/>
    <w:rsid w:val="00E6224C"/>
    <w:rsid w:val="00E67769"/>
    <w:rsid w:val="00E742CF"/>
    <w:rsid w:val="00EA05F9"/>
    <w:rsid w:val="00EA450A"/>
    <w:rsid w:val="00EB0164"/>
    <w:rsid w:val="00EB7075"/>
    <w:rsid w:val="00ED0F62"/>
    <w:rsid w:val="00EE0452"/>
    <w:rsid w:val="00F06441"/>
    <w:rsid w:val="00F21EF6"/>
    <w:rsid w:val="00F221BB"/>
    <w:rsid w:val="00F372EF"/>
    <w:rsid w:val="00F4680C"/>
    <w:rsid w:val="00F532A7"/>
    <w:rsid w:val="00F60867"/>
    <w:rsid w:val="00F63ECA"/>
    <w:rsid w:val="00F933DA"/>
    <w:rsid w:val="00F9771E"/>
    <w:rsid w:val="00FC2BC0"/>
    <w:rsid w:val="00FD7A10"/>
    <w:rsid w:val="00FD7DF4"/>
    <w:rsid w:val="00FF7401"/>
    <w:rsid w:val="01260C71"/>
    <w:rsid w:val="01A321D9"/>
    <w:rsid w:val="01E27364"/>
    <w:rsid w:val="01FE18C8"/>
    <w:rsid w:val="02797701"/>
    <w:rsid w:val="02C75A20"/>
    <w:rsid w:val="032F5195"/>
    <w:rsid w:val="03A0688A"/>
    <w:rsid w:val="03A32F8E"/>
    <w:rsid w:val="03AB4A3B"/>
    <w:rsid w:val="03AC3D8E"/>
    <w:rsid w:val="03CE483E"/>
    <w:rsid w:val="03CF54E8"/>
    <w:rsid w:val="0405614C"/>
    <w:rsid w:val="04883DB3"/>
    <w:rsid w:val="04981EC9"/>
    <w:rsid w:val="050D3D1E"/>
    <w:rsid w:val="056577F0"/>
    <w:rsid w:val="05705C5F"/>
    <w:rsid w:val="057753FF"/>
    <w:rsid w:val="05A05014"/>
    <w:rsid w:val="05B44859"/>
    <w:rsid w:val="05D4332F"/>
    <w:rsid w:val="05F6270F"/>
    <w:rsid w:val="0605101B"/>
    <w:rsid w:val="061B4460"/>
    <w:rsid w:val="063554F0"/>
    <w:rsid w:val="06444A1B"/>
    <w:rsid w:val="067B702D"/>
    <w:rsid w:val="06994A8D"/>
    <w:rsid w:val="06AA7E97"/>
    <w:rsid w:val="06ED612A"/>
    <w:rsid w:val="07FD44A3"/>
    <w:rsid w:val="081E2104"/>
    <w:rsid w:val="086B3934"/>
    <w:rsid w:val="08761C7A"/>
    <w:rsid w:val="08767210"/>
    <w:rsid w:val="08851DD7"/>
    <w:rsid w:val="08C22483"/>
    <w:rsid w:val="08ED1EE8"/>
    <w:rsid w:val="09005957"/>
    <w:rsid w:val="09120187"/>
    <w:rsid w:val="094663BE"/>
    <w:rsid w:val="096333C5"/>
    <w:rsid w:val="09933EF9"/>
    <w:rsid w:val="09AA0CA5"/>
    <w:rsid w:val="09FA6045"/>
    <w:rsid w:val="0A0F142E"/>
    <w:rsid w:val="0A1C56C1"/>
    <w:rsid w:val="0A8709B9"/>
    <w:rsid w:val="0A904067"/>
    <w:rsid w:val="0AAB13CF"/>
    <w:rsid w:val="0ACA6ED2"/>
    <w:rsid w:val="0AEF4D8D"/>
    <w:rsid w:val="0BE64DFF"/>
    <w:rsid w:val="0C5423F7"/>
    <w:rsid w:val="0C8009B8"/>
    <w:rsid w:val="0CC102DA"/>
    <w:rsid w:val="0D181113"/>
    <w:rsid w:val="0D1E4D9B"/>
    <w:rsid w:val="0D270A06"/>
    <w:rsid w:val="0D4D1326"/>
    <w:rsid w:val="0D6A2C36"/>
    <w:rsid w:val="0DB35CC0"/>
    <w:rsid w:val="0E385B07"/>
    <w:rsid w:val="0E49595F"/>
    <w:rsid w:val="0EB8524B"/>
    <w:rsid w:val="0F86648B"/>
    <w:rsid w:val="0F9C35C1"/>
    <w:rsid w:val="0FFA42BF"/>
    <w:rsid w:val="10062D9E"/>
    <w:rsid w:val="100B6D7F"/>
    <w:rsid w:val="100D075A"/>
    <w:rsid w:val="106A3497"/>
    <w:rsid w:val="108219C2"/>
    <w:rsid w:val="10991918"/>
    <w:rsid w:val="10A120FB"/>
    <w:rsid w:val="10AB5B5F"/>
    <w:rsid w:val="10C112A0"/>
    <w:rsid w:val="10C11C69"/>
    <w:rsid w:val="10DD2E35"/>
    <w:rsid w:val="11536201"/>
    <w:rsid w:val="115D3DB9"/>
    <w:rsid w:val="119E3FF4"/>
    <w:rsid w:val="11BD2BE2"/>
    <w:rsid w:val="11BE2038"/>
    <w:rsid w:val="11DC0AC4"/>
    <w:rsid w:val="11E2439D"/>
    <w:rsid w:val="124C3B13"/>
    <w:rsid w:val="12563B2D"/>
    <w:rsid w:val="12A2571D"/>
    <w:rsid w:val="12A42EA7"/>
    <w:rsid w:val="12A506D3"/>
    <w:rsid w:val="13296CDD"/>
    <w:rsid w:val="134E7573"/>
    <w:rsid w:val="13890C2B"/>
    <w:rsid w:val="13A420AC"/>
    <w:rsid w:val="13C11723"/>
    <w:rsid w:val="13C31FF4"/>
    <w:rsid w:val="13EB79B2"/>
    <w:rsid w:val="140E0601"/>
    <w:rsid w:val="145B46D3"/>
    <w:rsid w:val="14BA1243"/>
    <w:rsid w:val="14C400FD"/>
    <w:rsid w:val="14EF5EB2"/>
    <w:rsid w:val="14F1297E"/>
    <w:rsid w:val="14F26225"/>
    <w:rsid w:val="15023387"/>
    <w:rsid w:val="15051B66"/>
    <w:rsid w:val="151414F9"/>
    <w:rsid w:val="154C7AB0"/>
    <w:rsid w:val="155F4281"/>
    <w:rsid w:val="158035C7"/>
    <w:rsid w:val="15BC540D"/>
    <w:rsid w:val="16210B83"/>
    <w:rsid w:val="16583F2B"/>
    <w:rsid w:val="16912340"/>
    <w:rsid w:val="169D3E09"/>
    <w:rsid w:val="16AB3CAD"/>
    <w:rsid w:val="16E341B9"/>
    <w:rsid w:val="16F10A78"/>
    <w:rsid w:val="1712627E"/>
    <w:rsid w:val="17226BDD"/>
    <w:rsid w:val="17446813"/>
    <w:rsid w:val="177551EA"/>
    <w:rsid w:val="179B1D36"/>
    <w:rsid w:val="17C079EC"/>
    <w:rsid w:val="17F76BA3"/>
    <w:rsid w:val="182A66F0"/>
    <w:rsid w:val="182F656A"/>
    <w:rsid w:val="186A6524"/>
    <w:rsid w:val="186F767B"/>
    <w:rsid w:val="187F0353"/>
    <w:rsid w:val="188852B3"/>
    <w:rsid w:val="18DD0D85"/>
    <w:rsid w:val="18E725C6"/>
    <w:rsid w:val="18FB3FC3"/>
    <w:rsid w:val="19444428"/>
    <w:rsid w:val="19553BF7"/>
    <w:rsid w:val="197008AF"/>
    <w:rsid w:val="19746F33"/>
    <w:rsid w:val="197E61C1"/>
    <w:rsid w:val="199565C0"/>
    <w:rsid w:val="19D74BC7"/>
    <w:rsid w:val="19FD49DB"/>
    <w:rsid w:val="1A041A8F"/>
    <w:rsid w:val="1A546A4C"/>
    <w:rsid w:val="1A6C3FF9"/>
    <w:rsid w:val="1AAF33A8"/>
    <w:rsid w:val="1AB42370"/>
    <w:rsid w:val="1ACF1254"/>
    <w:rsid w:val="1AED5B63"/>
    <w:rsid w:val="1B327EE5"/>
    <w:rsid w:val="1B462375"/>
    <w:rsid w:val="1B5E3B97"/>
    <w:rsid w:val="1C392A3A"/>
    <w:rsid w:val="1C4C1E84"/>
    <w:rsid w:val="1C880B67"/>
    <w:rsid w:val="1C923014"/>
    <w:rsid w:val="1CB1322F"/>
    <w:rsid w:val="1D4D4A00"/>
    <w:rsid w:val="1DC4038A"/>
    <w:rsid w:val="1DF36090"/>
    <w:rsid w:val="1DFE25B1"/>
    <w:rsid w:val="1E511FFA"/>
    <w:rsid w:val="1E752FA2"/>
    <w:rsid w:val="1EF77273"/>
    <w:rsid w:val="1F1B65D5"/>
    <w:rsid w:val="1F35289F"/>
    <w:rsid w:val="1F4E73A5"/>
    <w:rsid w:val="1F8E0A45"/>
    <w:rsid w:val="1FAB395F"/>
    <w:rsid w:val="1FB8538A"/>
    <w:rsid w:val="1FF16224"/>
    <w:rsid w:val="201572E0"/>
    <w:rsid w:val="20272451"/>
    <w:rsid w:val="203255D2"/>
    <w:rsid w:val="20403C64"/>
    <w:rsid w:val="205905F2"/>
    <w:rsid w:val="205B3801"/>
    <w:rsid w:val="207644C2"/>
    <w:rsid w:val="20A856C1"/>
    <w:rsid w:val="21A07B88"/>
    <w:rsid w:val="21A5651D"/>
    <w:rsid w:val="21D24208"/>
    <w:rsid w:val="22044DFC"/>
    <w:rsid w:val="2241348F"/>
    <w:rsid w:val="226B1105"/>
    <w:rsid w:val="226B2F60"/>
    <w:rsid w:val="22813299"/>
    <w:rsid w:val="23194B67"/>
    <w:rsid w:val="232E1BCD"/>
    <w:rsid w:val="23461CA8"/>
    <w:rsid w:val="238A1BAA"/>
    <w:rsid w:val="23900E62"/>
    <w:rsid w:val="23BF3886"/>
    <w:rsid w:val="241A6B34"/>
    <w:rsid w:val="24285E2F"/>
    <w:rsid w:val="242A7B69"/>
    <w:rsid w:val="247622DE"/>
    <w:rsid w:val="2480482A"/>
    <w:rsid w:val="24A05D8E"/>
    <w:rsid w:val="24FC7C66"/>
    <w:rsid w:val="2519537A"/>
    <w:rsid w:val="258041F6"/>
    <w:rsid w:val="258609CC"/>
    <w:rsid w:val="261B55F8"/>
    <w:rsid w:val="261D5675"/>
    <w:rsid w:val="269C7CAD"/>
    <w:rsid w:val="271B4DE1"/>
    <w:rsid w:val="272228DE"/>
    <w:rsid w:val="27443F4D"/>
    <w:rsid w:val="274B78E8"/>
    <w:rsid w:val="27602485"/>
    <w:rsid w:val="27CF15FE"/>
    <w:rsid w:val="27D42EE9"/>
    <w:rsid w:val="27E10A81"/>
    <w:rsid w:val="27FE6486"/>
    <w:rsid w:val="280B3F2E"/>
    <w:rsid w:val="28247B4B"/>
    <w:rsid w:val="28341F0D"/>
    <w:rsid w:val="28481DD2"/>
    <w:rsid w:val="2892323E"/>
    <w:rsid w:val="289361DE"/>
    <w:rsid w:val="28E623FA"/>
    <w:rsid w:val="291C5E47"/>
    <w:rsid w:val="296D2D47"/>
    <w:rsid w:val="29CB46C2"/>
    <w:rsid w:val="29E253FB"/>
    <w:rsid w:val="29F77BA5"/>
    <w:rsid w:val="2A3A6E77"/>
    <w:rsid w:val="2A85024C"/>
    <w:rsid w:val="2B0D2F04"/>
    <w:rsid w:val="2B1D2572"/>
    <w:rsid w:val="2B206A2D"/>
    <w:rsid w:val="2B4C1179"/>
    <w:rsid w:val="2BD60481"/>
    <w:rsid w:val="2BEA3FA7"/>
    <w:rsid w:val="2C0D0D35"/>
    <w:rsid w:val="2C2E44D4"/>
    <w:rsid w:val="2C6F7203"/>
    <w:rsid w:val="2C7B6C71"/>
    <w:rsid w:val="2D357F0D"/>
    <w:rsid w:val="2D4E604F"/>
    <w:rsid w:val="2D5C2AB0"/>
    <w:rsid w:val="2D7A20E6"/>
    <w:rsid w:val="2DC57805"/>
    <w:rsid w:val="2DDA0493"/>
    <w:rsid w:val="2DDF08DF"/>
    <w:rsid w:val="2DFF79D8"/>
    <w:rsid w:val="2E32284C"/>
    <w:rsid w:val="2E367C56"/>
    <w:rsid w:val="2E440885"/>
    <w:rsid w:val="2EEE512C"/>
    <w:rsid w:val="2F462957"/>
    <w:rsid w:val="2F511B05"/>
    <w:rsid w:val="2F7C571D"/>
    <w:rsid w:val="2FA86B66"/>
    <w:rsid w:val="2FE823A5"/>
    <w:rsid w:val="2FEA1C57"/>
    <w:rsid w:val="300172B8"/>
    <w:rsid w:val="30945277"/>
    <w:rsid w:val="30C71DD4"/>
    <w:rsid w:val="30DC7CB1"/>
    <w:rsid w:val="30ED30CC"/>
    <w:rsid w:val="31064141"/>
    <w:rsid w:val="310D6AA3"/>
    <w:rsid w:val="31482B78"/>
    <w:rsid w:val="31B477DB"/>
    <w:rsid w:val="31B67BE2"/>
    <w:rsid w:val="31CA71DD"/>
    <w:rsid w:val="324E5138"/>
    <w:rsid w:val="331E21CE"/>
    <w:rsid w:val="33562A0D"/>
    <w:rsid w:val="33715F28"/>
    <w:rsid w:val="33F07155"/>
    <w:rsid w:val="340C6245"/>
    <w:rsid w:val="343C4522"/>
    <w:rsid w:val="347A0336"/>
    <w:rsid w:val="34F92D63"/>
    <w:rsid w:val="35527F1F"/>
    <w:rsid w:val="357914C0"/>
    <w:rsid w:val="35CA668A"/>
    <w:rsid w:val="35D721CD"/>
    <w:rsid w:val="35DF4228"/>
    <w:rsid w:val="36174333"/>
    <w:rsid w:val="364A3F09"/>
    <w:rsid w:val="364C3817"/>
    <w:rsid w:val="367A501B"/>
    <w:rsid w:val="368249AA"/>
    <w:rsid w:val="36EA501F"/>
    <w:rsid w:val="372D3763"/>
    <w:rsid w:val="37A3423F"/>
    <w:rsid w:val="37A66325"/>
    <w:rsid w:val="37AF435B"/>
    <w:rsid w:val="37B82B0E"/>
    <w:rsid w:val="37D8509F"/>
    <w:rsid w:val="380178E9"/>
    <w:rsid w:val="38363F4B"/>
    <w:rsid w:val="385F5D57"/>
    <w:rsid w:val="386866FF"/>
    <w:rsid w:val="387B2F69"/>
    <w:rsid w:val="38803663"/>
    <w:rsid w:val="389A539F"/>
    <w:rsid w:val="38B37216"/>
    <w:rsid w:val="38BD5C7F"/>
    <w:rsid w:val="38C5580C"/>
    <w:rsid w:val="38EC325F"/>
    <w:rsid w:val="39090322"/>
    <w:rsid w:val="39286E54"/>
    <w:rsid w:val="399117DD"/>
    <w:rsid w:val="39972637"/>
    <w:rsid w:val="39D7104B"/>
    <w:rsid w:val="3A3E0D9F"/>
    <w:rsid w:val="3A5573DE"/>
    <w:rsid w:val="3AAB1306"/>
    <w:rsid w:val="3ABD0173"/>
    <w:rsid w:val="3ACE23E2"/>
    <w:rsid w:val="3B227AA7"/>
    <w:rsid w:val="3B4241C0"/>
    <w:rsid w:val="3B5F0280"/>
    <w:rsid w:val="3B8C1823"/>
    <w:rsid w:val="3BCD5A20"/>
    <w:rsid w:val="3BEE1D6F"/>
    <w:rsid w:val="3BF1473C"/>
    <w:rsid w:val="3CA475E5"/>
    <w:rsid w:val="3CA717F2"/>
    <w:rsid w:val="3CC56579"/>
    <w:rsid w:val="3CEB2CC9"/>
    <w:rsid w:val="3D053E44"/>
    <w:rsid w:val="3D721433"/>
    <w:rsid w:val="3D7C5D45"/>
    <w:rsid w:val="3DA34201"/>
    <w:rsid w:val="3DAB460B"/>
    <w:rsid w:val="3DDA7DB2"/>
    <w:rsid w:val="3DF92E01"/>
    <w:rsid w:val="3E342793"/>
    <w:rsid w:val="3E3C5235"/>
    <w:rsid w:val="3EA34B57"/>
    <w:rsid w:val="3ED604A2"/>
    <w:rsid w:val="3EEF1E6E"/>
    <w:rsid w:val="3F654598"/>
    <w:rsid w:val="3FEB6494"/>
    <w:rsid w:val="40571F31"/>
    <w:rsid w:val="40760623"/>
    <w:rsid w:val="408B7234"/>
    <w:rsid w:val="40E27AF7"/>
    <w:rsid w:val="40F80D82"/>
    <w:rsid w:val="41342A6B"/>
    <w:rsid w:val="414C7183"/>
    <w:rsid w:val="418D501C"/>
    <w:rsid w:val="41BB58E6"/>
    <w:rsid w:val="41C832C7"/>
    <w:rsid w:val="41E9167B"/>
    <w:rsid w:val="42416B50"/>
    <w:rsid w:val="4262379E"/>
    <w:rsid w:val="427A1188"/>
    <w:rsid w:val="4289200B"/>
    <w:rsid w:val="42C77562"/>
    <w:rsid w:val="432A5E11"/>
    <w:rsid w:val="433B1167"/>
    <w:rsid w:val="433E2DC7"/>
    <w:rsid w:val="435F500F"/>
    <w:rsid w:val="43C730CD"/>
    <w:rsid w:val="441D0975"/>
    <w:rsid w:val="44A567F5"/>
    <w:rsid w:val="453B1EBC"/>
    <w:rsid w:val="45635AEC"/>
    <w:rsid w:val="45B27C46"/>
    <w:rsid w:val="45BA54FA"/>
    <w:rsid w:val="45EC74A5"/>
    <w:rsid w:val="45FA6B69"/>
    <w:rsid w:val="460414DD"/>
    <w:rsid w:val="46332B60"/>
    <w:rsid w:val="4654705C"/>
    <w:rsid w:val="468C6A25"/>
    <w:rsid w:val="468D2C1F"/>
    <w:rsid w:val="468D3CA5"/>
    <w:rsid w:val="4694248B"/>
    <w:rsid w:val="46A32063"/>
    <w:rsid w:val="46EA7997"/>
    <w:rsid w:val="470243E7"/>
    <w:rsid w:val="471F1498"/>
    <w:rsid w:val="47271944"/>
    <w:rsid w:val="475C4BFE"/>
    <w:rsid w:val="47BB044C"/>
    <w:rsid w:val="47F95078"/>
    <w:rsid w:val="48262DE5"/>
    <w:rsid w:val="489C0A39"/>
    <w:rsid w:val="490747F7"/>
    <w:rsid w:val="49105C6D"/>
    <w:rsid w:val="496D185A"/>
    <w:rsid w:val="49C0281D"/>
    <w:rsid w:val="49E449BF"/>
    <w:rsid w:val="49EC77B8"/>
    <w:rsid w:val="49ED5B1C"/>
    <w:rsid w:val="4AD45EF1"/>
    <w:rsid w:val="4AE04A18"/>
    <w:rsid w:val="4B12455E"/>
    <w:rsid w:val="4B337454"/>
    <w:rsid w:val="4B407CC6"/>
    <w:rsid w:val="4B42232B"/>
    <w:rsid w:val="4B825A76"/>
    <w:rsid w:val="4B8B3702"/>
    <w:rsid w:val="4B9B0D7E"/>
    <w:rsid w:val="4B9C6F9C"/>
    <w:rsid w:val="4BC83B65"/>
    <w:rsid w:val="4BC87AB0"/>
    <w:rsid w:val="4C1454A4"/>
    <w:rsid w:val="4CA74E41"/>
    <w:rsid w:val="4CA91B51"/>
    <w:rsid w:val="4CB62537"/>
    <w:rsid w:val="4CD2365B"/>
    <w:rsid w:val="4CFB4E3C"/>
    <w:rsid w:val="4D352804"/>
    <w:rsid w:val="4D791805"/>
    <w:rsid w:val="4D8F2F88"/>
    <w:rsid w:val="4DB86BCB"/>
    <w:rsid w:val="4DD85058"/>
    <w:rsid w:val="4E0166A9"/>
    <w:rsid w:val="4E1551DB"/>
    <w:rsid w:val="4E7774D0"/>
    <w:rsid w:val="4F594843"/>
    <w:rsid w:val="4FAF3052"/>
    <w:rsid w:val="503C3BCC"/>
    <w:rsid w:val="505C4971"/>
    <w:rsid w:val="50C41CF1"/>
    <w:rsid w:val="51217DA6"/>
    <w:rsid w:val="51294703"/>
    <w:rsid w:val="51425A27"/>
    <w:rsid w:val="5158757E"/>
    <w:rsid w:val="521A5D1E"/>
    <w:rsid w:val="523624DE"/>
    <w:rsid w:val="52A23F56"/>
    <w:rsid w:val="52BA5471"/>
    <w:rsid w:val="52D871F4"/>
    <w:rsid w:val="52F263D6"/>
    <w:rsid w:val="52F569F3"/>
    <w:rsid w:val="52F737EA"/>
    <w:rsid w:val="53024EB7"/>
    <w:rsid w:val="53261795"/>
    <w:rsid w:val="5373268D"/>
    <w:rsid w:val="53953BE7"/>
    <w:rsid w:val="53F51637"/>
    <w:rsid w:val="54124FEF"/>
    <w:rsid w:val="541C4B67"/>
    <w:rsid w:val="552A2893"/>
    <w:rsid w:val="555A4FF2"/>
    <w:rsid w:val="556B045B"/>
    <w:rsid w:val="557D4E77"/>
    <w:rsid w:val="55C375DD"/>
    <w:rsid w:val="56156439"/>
    <w:rsid w:val="5656544C"/>
    <w:rsid w:val="56643532"/>
    <w:rsid w:val="568B5A7B"/>
    <w:rsid w:val="56EF2BB9"/>
    <w:rsid w:val="570A6E63"/>
    <w:rsid w:val="573B0118"/>
    <w:rsid w:val="573D2268"/>
    <w:rsid w:val="57411925"/>
    <w:rsid w:val="57441E32"/>
    <w:rsid w:val="57535542"/>
    <w:rsid w:val="575B3098"/>
    <w:rsid w:val="577F7188"/>
    <w:rsid w:val="57F55B90"/>
    <w:rsid w:val="580F191D"/>
    <w:rsid w:val="58276F84"/>
    <w:rsid w:val="58584813"/>
    <w:rsid w:val="58B728A2"/>
    <w:rsid w:val="58B868EB"/>
    <w:rsid w:val="590D059A"/>
    <w:rsid w:val="592802C2"/>
    <w:rsid w:val="5939327C"/>
    <w:rsid w:val="5978735A"/>
    <w:rsid w:val="59AF126F"/>
    <w:rsid w:val="59E42114"/>
    <w:rsid w:val="59E710C8"/>
    <w:rsid w:val="5A0B0AB5"/>
    <w:rsid w:val="5A1C59A1"/>
    <w:rsid w:val="5A407674"/>
    <w:rsid w:val="5A432974"/>
    <w:rsid w:val="5A6A20C5"/>
    <w:rsid w:val="5AD64AF2"/>
    <w:rsid w:val="5AEE39DB"/>
    <w:rsid w:val="5B046AEC"/>
    <w:rsid w:val="5B544EB3"/>
    <w:rsid w:val="5B6A33DD"/>
    <w:rsid w:val="5BD1484D"/>
    <w:rsid w:val="5BF04FFA"/>
    <w:rsid w:val="5C4D2649"/>
    <w:rsid w:val="5C8D6CFF"/>
    <w:rsid w:val="5C966EB6"/>
    <w:rsid w:val="5C9E007C"/>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971B73"/>
    <w:rsid w:val="5EA12B9A"/>
    <w:rsid w:val="5EB61B43"/>
    <w:rsid w:val="5EBA7075"/>
    <w:rsid w:val="5EBF5DC8"/>
    <w:rsid w:val="5EF56050"/>
    <w:rsid w:val="5F02275D"/>
    <w:rsid w:val="5F14059B"/>
    <w:rsid w:val="5F291E1B"/>
    <w:rsid w:val="5F551AC0"/>
    <w:rsid w:val="5F616E2A"/>
    <w:rsid w:val="5FE015B4"/>
    <w:rsid w:val="6018182B"/>
    <w:rsid w:val="601E0F43"/>
    <w:rsid w:val="60596F8D"/>
    <w:rsid w:val="608075E1"/>
    <w:rsid w:val="61326FB1"/>
    <w:rsid w:val="61384C31"/>
    <w:rsid w:val="61E77A7E"/>
    <w:rsid w:val="622A4138"/>
    <w:rsid w:val="62385483"/>
    <w:rsid w:val="62385A6C"/>
    <w:rsid w:val="62876D77"/>
    <w:rsid w:val="628F4421"/>
    <w:rsid w:val="62CA4AF4"/>
    <w:rsid w:val="62E4371E"/>
    <w:rsid w:val="6306254B"/>
    <w:rsid w:val="632045D1"/>
    <w:rsid w:val="6342544F"/>
    <w:rsid w:val="63720424"/>
    <w:rsid w:val="63A31ABC"/>
    <w:rsid w:val="63C65078"/>
    <w:rsid w:val="63EA156F"/>
    <w:rsid w:val="63EA6D88"/>
    <w:rsid w:val="64621F9C"/>
    <w:rsid w:val="64A537DD"/>
    <w:rsid w:val="64B96E85"/>
    <w:rsid w:val="64BB6795"/>
    <w:rsid w:val="64D069A0"/>
    <w:rsid w:val="64F27E75"/>
    <w:rsid w:val="65067C78"/>
    <w:rsid w:val="65662197"/>
    <w:rsid w:val="658C79F9"/>
    <w:rsid w:val="65A33DF6"/>
    <w:rsid w:val="65BE04E1"/>
    <w:rsid w:val="65F429F0"/>
    <w:rsid w:val="665A6FDB"/>
    <w:rsid w:val="669E6788"/>
    <w:rsid w:val="66B368AE"/>
    <w:rsid w:val="66B532F3"/>
    <w:rsid w:val="66C2760F"/>
    <w:rsid w:val="675A3B6C"/>
    <w:rsid w:val="677C2796"/>
    <w:rsid w:val="67AF7DB6"/>
    <w:rsid w:val="680564C6"/>
    <w:rsid w:val="681B3F7A"/>
    <w:rsid w:val="68233428"/>
    <w:rsid w:val="684B51CE"/>
    <w:rsid w:val="68575061"/>
    <w:rsid w:val="68B54AF7"/>
    <w:rsid w:val="68CA009F"/>
    <w:rsid w:val="695B5920"/>
    <w:rsid w:val="69B35A0D"/>
    <w:rsid w:val="69CC607C"/>
    <w:rsid w:val="69EA1163"/>
    <w:rsid w:val="69F96768"/>
    <w:rsid w:val="6A287F98"/>
    <w:rsid w:val="6AB40496"/>
    <w:rsid w:val="6ABD1D5E"/>
    <w:rsid w:val="6AE81CC5"/>
    <w:rsid w:val="6AF33939"/>
    <w:rsid w:val="6B795D62"/>
    <w:rsid w:val="6BC747F5"/>
    <w:rsid w:val="6BD35CE4"/>
    <w:rsid w:val="6BFE32FF"/>
    <w:rsid w:val="6C3014BE"/>
    <w:rsid w:val="6C5D414F"/>
    <w:rsid w:val="6C635932"/>
    <w:rsid w:val="6CA324B4"/>
    <w:rsid w:val="6CC44B47"/>
    <w:rsid w:val="6CDE17FD"/>
    <w:rsid w:val="6D1D2C91"/>
    <w:rsid w:val="6D232D3C"/>
    <w:rsid w:val="6D2F5D1E"/>
    <w:rsid w:val="6D792112"/>
    <w:rsid w:val="6E641038"/>
    <w:rsid w:val="6EBD0EA6"/>
    <w:rsid w:val="6F2F5C01"/>
    <w:rsid w:val="6F435405"/>
    <w:rsid w:val="6F4810D8"/>
    <w:rsid w:val="6F6D2BAA"/>
    <w:rsid w:val="6F9119BB"/>
    <w:rsid w:val="6F9A4A47"/>
    <w:rsid w:val="701710D0"/>
    <w:rsid w:val="70795456"/>
    <w:rsid w:val="709946EC"/>
    <w:rsid w:val="70B256FB"/>
    <w:rsid w:val="72226A31"/>
    <w:rsid w:val="72702455"/>
    <w:rsid w:val="728F2E47"/>
    <w:rsid w:val="72973011"/>
    <w:rsid w:val="72E42D1B"/>
    <w:rsid w:val="734F0911"/>
    <w:rsid w:val="736054C4"/>
    <w:rsid w:val="736C572D"/>
    <w:rsid w:val="73A422EB"/>
    <w:rsid w:val="74103E55"/>
    <w:rsid w:val="745B622A"/>
    <w:rsid w:val="74B64014"/>
    <w:rsid w:val="753E2D2E"/>
    <w:rsid w:val="75950E53"/>
    <w:rsid w:val="75B91B9C"/>
    <w:rsid w:val="75DB13A5"/>
    <w:rsid w:val="75E00376"/>
    <w:rsid w:val="75E552E3"/>
    <w:rsid w:val="762E2DED"/>
    <w:rsid w:val="7648538B"/>
    <w:rsid w:val="76577132"/>
    <w:rsid w:val="76BD747C"/>
    <w:rsid w:val="76CD52EB"/>
    <w:rsid w:val="76FE004A"/>
    <w:rsid w:val="771B17CC"/>
    <w:rsid w:val="77462C4C"/>
    <w:rsid w:val="77A268F6"/>
    <w:rsid w:val="77CC3658"/>
    <w:rsid w:val="780F54C3"/>
    <w:rsid w:val="782C6CF7"/>
    <w:rsid w:val="78680ECD"/>
    <w:rsid w:val="7880670B"/>
    <w:rsid w:val="78A25951"/>
    <w:rsid w:val="78A35FE5"/>
    <w:rsid w:val="78C4002B"/>
    <w:rsid w:val="78E96823"/>
    <w:rsid w:val="78EE7F5B"/>
    <w:rsid w:val="78F11CE1"/>
    <w:rsid w:val="78F66955"/>
    <w:rsid w:val="78F8423B"/>
    <w:rsid w:val="79053EDA"/>
    <w:rsid w:val="79097264"/>
    <w:rsid w:val="791D3993"/>
    <w:rsid w:val="79202162"/>
    <w:rsid w:val="7924138B"/>
    <w:rsid w:val="79826449"/>
    <w:rsid w:val="79B34208"/>
    <w:rsid w:val="79D339B9"/>
    <w:rsid w:val="7A200C95"/>
    <w:rsid w:val="7A594332"/>
    <w:rsid w:val="7A8564DB"/>
    <w:rsid w:val="7AC22B97"/>
    <w:rsid w:val="7B190280"/>
    <w:rsid w:val="7B1F77A4"/>
    <w:rsid w:val="7B292799"/>
    <w:rsid w:val="7C090682"/>
    <w:rsid w:val="7C183634"/>
    <w:rsid w:val="7C351D89"/>
    <w:rsid w:val="7C6A6CA8"/>
    <w:rsid w:val="7C9307A3"/>
    <w:rsid w:val="7CAB39C4"/>
    <w:rsid w:val="7CE81F24"/>
    <w:rsid w:val="7CF04E00"/>
    <w:rsid w:val="7D41026F"/>
    <w:rsid w:val="7D59343F"/>
    <w:rsid w:val="7E0A78B3"/>
    <w:rsid w:val="7E2912F3"/>
    <w:rsid w:val="7F850D3B"/>
    <w:rsid w:val="7F9026D0"/>
    <w:rsid w:val="7F984417"/>
    <w:rsid w:val="7FDB7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rFonts w:ascii="Times New Roman" w:hAnsi="Times New Roman" w:eastAsia="宋体" w:cs="Times New Roman"/>
      <w:sz w:val="18"/>
      <w:szCs w:val="18"/>
    </w:rPr>
  </w:style>
  <w:style w:type="character" w:customStyle="1" w:styleId="10">
    <w:name w:val="页脚 Char"/>
    <w:basedOn w:val="8"/>
    <w:link w:val="3"/>
    <w:qFormat/>
    <w:uiPriority w:val="99"/>
    <w:rPr>
      <w:rFonts w:ascii="Times New Roman" w:hAnsi="Times New Roman" w:eastAsia="宋体" w:cs="Times New Roman"/>
      <w:sz w:val="18"/>
      <w:szCs w:val="18"/>
    </w:rPr>
  </w:style>
  <w:style w:type="character" w:customStyle="1" w:styleId="11">
    <w:name w:val="批注框文本 Char"/>
    <w:basedOn w:val="8"/>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1127</Words>
  <Characters>6425</Characters>
  <Lines>53</Lines>
  <Paragraphs>15</Paragraphs>
  <TotalTime>3</TotalTime>
  <ScaleCrop>false</ScaleCrop>
  <LinksUpToDate>false</LinksUpToDate>
  <CharactersWithSpaces>7537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2020-05-21T17:17:00Z</dcterms:created>
  <dc:creator>微软用户</dc:creator>
  <cp:lastModifiedBy>lenovo</cp:lastModifiedBy>
  <dcterms:modified xsi:type="dcterms:W3CDTF">2021-06-04T13:09:37Z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537AC59686D74FA3A27B583347DF5C09</vt:lpwstr>
  </property>
</Properties>
</file>