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配送部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张亚萍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1D41D5"/>
                <w:sz w:val="24"/>
                <w:szCs w:val="24"/>
              </w:rPr>
              <w:t>审核日期：202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1D41D5"/>
                <w:sz w:val="24"/>
                <w:szCs w:val="24"/>
              </w:rPr>
              <w:t>-0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1D41D5"/>
                <w:sz w:val="24"/>
                <w:szCs w:val="24"/>
              </w:rPr>
              <w:t>-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01</w:t>
            </w:r>
            <w:r>
              <w:rPr>
                <w:color w:val="1D41D5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6.1、6.2、8.1、8.2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magent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7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2"/>
              <w:gridCol w:w="2400"/>
              <w:gridCol w:w="3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8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18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意外伤害</w:t>
                  </w: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</w:rPr>
                    <w:t>事故</w:t>
                  </w: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val="en-US" w:eastAsia="zh-CN"/>
                    </w:rPr>
                    <w:t>冻伤、交通事故、食物中毒）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pacing w:val="10"/>
                      <w:sz w:val="21"/>
                      <w:szCs w:val="16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按操作规程操作、管理方案、管理制度、应急预案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rFonts w:hint="eastAsia" w:ascii="宋体" w:hAnsi="宋体"/>
                      <w:sz w:val="18"/>
                      <w:szCs w:val="16"/>
                    </w:rPr>
                    <w:t>火灾事故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应急预案、管理方案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18"/>
                      <w:szCs w:val="21"/>
                      <w:lang w:eastAsia="zh-CN"/>
                    </w:rPr>
                  </w:pPr>
                  <w:r>
                    <w:rPr>
                      <w:rFonts w:hint="eastAsia" w:ascii="??" w:hAnsi="??" w:cs="??"/>
                      <w:sz w:val="21"/>
                      <w:szCs w:val="16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管理方案、应急预案</w:t>
                  </w:r>
                </w:p>
              </w:tc>
            </w:tr>
          </w:tbl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rFonts w:hint="eastAsia" w:ascii="Arial" w:hAnsi="Arial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交通意外事故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冻伤事故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bookmarkStart w:id="0" w:name="_GoBack" w:colFirst="0" w:colLast="3"/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如：《服务提供控制程序》、《工艺流程图》、《货品配送作业指导书》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危险源的控制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</w:t>
            </w:r>
          </w:p>
          <w:p>
            <w:pPr>
              <w:shd w:val="clea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下单—装货—运输——下货——顾客签收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有，说明：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车间处理方式：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排入市政管网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车间排口处理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VOC 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       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询问生产车间是否有较大噪声排放，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>询问减少噪声危害的措施：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设备减震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>隔离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戴耳塞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 xml:space="preserve">危害告知牌 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询问生产车间是否有害废气排放，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原材料产生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工序产生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设备泄露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highlight w:val="cyan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>询问减少废气危害的措施：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设备密封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>人员隔离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戴口罩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 xml:space="preserve">危害告知牌 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highlight w:val="cyan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highlight w:val="cyan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查看车间危化品管理的情况（适用时）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8"/>
              <w:gridCol w:w="876"/>
              <w:gridCol w:w="1507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87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8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8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因无GBZ188中的职业健康危害因素，无需使用特种</w:t>
            </w:r>
            <w:r>
              <w:rPr>
                <w:rFonts w:hint="eastAsia" w:ascii="宋体" w:hAnsi="宋体"/>
                <w:szCs w:val="21"/>
              </w:rPr>
              <w:t>劳保用品。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烫伤：使用隔热毛巾；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触电：有过流保护器；全公司使用220V的电压；无任何配电柜；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噪声：安装净化装置使用了橡胶垫；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■危险化学品的使用：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■消防：只有消防栓、灭火器（干粉、水基）；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2021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.5.20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机械事故受伤人员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20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21.01.20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机械伤害应急预案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触电事故应急演练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2021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.03.20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触电事故应急预案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164457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980216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17109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6F20FD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8F533E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7F4020E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7686A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424900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</TotalTime>
  <ScaleCrop>false</ScaleCrop>
  <LinksUpToDate>false</LinksUpToDate>
  <CharactersWithSpaces>147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2021-06-03T03:30:59Z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2A8236E2293A42AAAB81D8670D3C0E09</vt:lpwstr>
  </property>
</Properties>
</file>