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9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738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738" w:type="dxa"/>
            <w:vAlign w:val="center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受审核部门：生产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技术</w:t>
            </w:r>
            <w:r>
              <w:rPr>
                <w:rFonts w:hint="eastAsia"/>
                <w:sz w:val="24"/>
                <w:szCs w:val="24"/>
              </w:rPr>
              <w:t>部     主管领导：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刘永锋</w:t>
            </w:r>
            <w:r>
              <w:rPr>
                <w:rFonts w:hint="eastAsia"/>
                <w:sz w:val="24"/>
                <w:szCs w:val="24"/>
              </w:rPr>
              <w:t xml:space="preserve">          陪同人员：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辛文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738" w:type="dxa"/>
            <w:vAlign w:val="center"/>
          </w:tcPr>
          <w:p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伍光华、邱锋</w:t>
            </w:r>
            <w:r>
              <w:rPr>
                <w:rFonts w:hint="eastAsia"/>
                <w:sz w:val="24"/>
                <w:szCs w:val="24"/>
              </w:rPr>
              <w:t xml:space="preserve">      审核时间：20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851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738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  <w:p>
            <w:pPr>
              <w:snapToGrid w:val="0"/>
              <w:spacing w:line="260" w:lineRule="exact"/>
              <w:rPr>
                <w:sz w:val="24"/>
                <w:szCs w:val="24"/>
              </w:rPr>
            </w:pPr>
            <w:r>
              <w:rPr>
                <w:rFonts w:ascii="宋体" w:hAnsi="宋体" w:cs="Arial"/>
                <w:sz w:val="21"/>
                <w:szCs w:val="21"/>
              </w:rPr>
              <w:t>E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O</w:t>
            </w:r>
            <w:r>
              <w:rPr>
                <w:rFonts w:ascii="宋体" w:hAnsi="宋体" w:cs="Arial"/>
                <w:sz w:val="21"/>
                <w:szCs w:val="21"/>
              </w:rPr>
              <w:t>: 5.3</w:t>
            </w:r>
            <w:r>
              <w:rPr>
                <w:rFonts w:hint="eastAsia" w:ascii="宋体" w:hAnsi="宋体" w:cs="Arial"/>
                <w:sz w:val="21"/>
                <w:szCs w:val="21"/>
              </w:rPr>
              <w:t>组织的岗位、职责和权限、</w:t>
            </w:r>
            <w:r>
              <w:rPr>
                <w:rFonts w:ascii="宋体" w:hAnsi="宋体" w:cs="Arial"/>
                <w:sz w:val="21"/>
                <w:szCs w:val="21"/>
              </w:rPr>
              <w:t>6.2</w:t>
            </w:r>
            <w:r>
              <w:rPr>
                <w:rFonts w:hint="eastAsia" w:ascii="宋体" w:hAnsi="宋体" w:cs="Arial"/>
                <w:sz w:val="21"/>
                <w:szCs w:val="21"/>
              </w:rPr>
              <w:t>环境目标、</w:t>
            </w:r>
            <w:r>
              <w:rPr>
                <w:rFonts w:ascii="宋体" w:hAnsi="宋体" w:cs="Arial"/>
                <w:sz w:val="21"/>
                <w:szCs w:val="21"/>
              </w:rPr>
              <w:t>6.1.2</w:t>
            </w:r>
            <w:r>
              <w:rPr>
                <w:rFonts w:hint="eastAsia" w:ascii="宋体" w:hAnsi="宋体" w:cs="Arial"/>
                <w:sz w:val="21"/>
                <w:szCs w:val="21"/>
              </w:rPr>
              <w:t>环境因素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/危险源</w:t>
            </w:r>
            <w:r>
              <w:rPr>
                <w:rFonts w:hint="eastAsia" w:ascii="宋体" w:hAnsi="宋体" w:cs="Arial"/>
                <w:sz w:val="21"/>
                <w:szCs w:val="21"/>
              </w:rPr>
              <w:t>、</w:t>
            </w:r>
            <w:r>
              <w:rPr>
                <w:rFonts w:ascii="宋体" w:hAnsi="宋体" w:cs="Arial"/>
                <w:sz w:val="21"/>
                <w:szCs w:val="21"/>
              </w:rPr>
              <w:t>8.1</w:t>
            </w:r>
            <w:r>
              <w:rPr>
                <w:rFonts w:hint="eastAsia" w:ascii="宋体" w:hAnsi="宋体" w:cs="Arial"/>
                <w:sz w:val="21"/>
                <w:szCs w:val="21"/>
              </w:rPr>
              <w:t>运行策划和控制、</w:t>
            </w:r>
            <w:r>
              <w:rPr>
                <w:rFonts w:ascii="宋体" w:hAnsi="宋体" w:cs="Arial"/>
                <w:sz w:val="21"/>
                <w:szCs w:val="21"/>
              </w:rPr>
              <w:t>8.2</w:t>
            </w:r>
            <w:r>
              <w:rPr>
                <w:rFonts w:hint="eastAsia" w:ascii="宋体" w:hAnsi="宋体" w:cs="Arial"/>
                <w:sz w:val="21"/>
                <w:szCs w:val="21"/>
              </w:rPr>
              <w:t>应急准备和响应、</w:t>
            </w:r>
          </w:p>
        </w:tc>
        <w:tc>
          <w:tcPr>
            <w:tcW w:w="851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</w:tcPr>
          <w:p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询查部门及人员的职责和权限，是否与规定一致？</w:t>
            </w:r>
          </w:p>
        </w:tc>
        <w:tc>
          <w:tcPr>
            <w:tcW w:w="960" w:type="dxa"/>
          </w:tcPr>
          <w:p>
            <w:pPr>
              <w:rPr>
                <w:rFonts w:asciiTheme="minorEastAsia" w:hAnsiTheme="minorEastAsia" w:eastAsia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  <w:t>ES5.3</w:t>
            </w:r>
          </w:p>
          <w:p/>
        </w:tc>
        <w:tc>
          <w:tcPr>
            <w:tcW w:w="10738" w:type="dxa"/>
          </w:tcPr>
          <w:p>
            <w:pPr>
              <w:numPr>
                <w:ilvl w:val="3"/>
                <w:numId w:val="0"/>
              </w:numPr>
              <w:spacing w:line="360" w:lineRule="auto"/>
              <w:ind w:firstLine="420" w:firstLineChars="200"/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查《管理手册》中的职能分配表和手册中规定：对职能部门和各类人员的职责和权限做了规定，同时制定了管理制度及职责汇编，通过对《管理手册》及管理制度及职责汇编等管理文件的发布，使各部门及岗位的职责和权限在公司内得到沟通，符合规定要求。</w:t>
            </w:r>
          </w:p>
          <w:p>
            <w:pPr>
              <w:numPr>
                <w:ilvl w:val="3"/>
                <w:numId w:val="0"/>
              </w:numPr>
              <w:spacing w:line="360" w:lineRule="auto"/>
              <w:ind w:firstLine="420" w:firstLineChars="200"/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生产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技术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部部长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刘永锋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，另有生产计划员、技术员、设备维护员、技能工人等人员，具体负责基础设施管理、过程运行环境控制、产品实现过程的策划控制、生产和服务提供过程确认控制、标识和可追溯性控制、产品防护控制、变更控制、纠正措施控制、预防措施控制、危险源、环境因素识别及评价控制、目标指标和管理方案控制、运行控制、应急准备和响应控制等。</w:t>
            </w:r>
          </w:p>
          <w:p>
            <w:pPr>
              <w:ind w:firstLine="210" w:firstLineChars="100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与生产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技术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部部长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刘永锋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沟通，对本部门的主要工作及部门员工的职责和权限比较了解，基本符合。</w:t>
            </w:r>
          </w:p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询问设备维护员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张军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，对其本岗位的职责和权限了解清楚，基本符合。</w:t>
            </w:r>
          </w:p>
          <w:p/>
        </w:tc>
        <w:tc>
          <w:tcPr>
            <w:tcW w:w="85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0" w:hRule="atLeast"/>
        </w:trPr>
        <w:tc>
          <w:tcPr>
            <w:tcW w:w="2160" w:type="dxa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目标及其实现的策划总要求</w:t>
            </w:r>
          </w:p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960" w:type="dxa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  <w:t>ES</w:t>
            </w: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6.2</w:t>
            </w:r>
          </w:p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0738" w:type="dxa"/>
          </w:tcPr>
          <w:p>
            <w:pPr>
              <w:spacing w:line="360" w:lineRule="auto"/>
              <w:ind w:firstLine="420" w:firstLineChars="200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查有公司公司级管理目标，并按照部门对目标进行分解，有目标管理管理规定，规定了目标的分解及考核的具体方法。</w:t>
            </w:r>
          </w:p>
          <w:p>
            <w:pPr>
              <w:spacing w:line="360" w:lineRule="auto"/>
              <w:ind w:firstLine="420" w:firstLineChars="200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6-12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月份生产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技术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部环境、职业健康安全目标统计情况</w:t>
            </w:r>
          </w:p>
          <w:p>
            <w:pPr>
              <w:spacing w:line="360" w:lineRule="auto"/>
              <w:ind w:firstLine="420" w:firstLineChars="200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drawing>
                <wp:inline distT="0" distB="0" distL="114300" distR="114300">
                  <wp:extent cx="5499100" cy="1485900"/>
                  <wp:effectExtent l="0" t="0" r="0" b="0"/>
                  <wp:docPr id="1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9910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  <w:ind w:firstLine="420" w:firstLineChars="200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与方针一致，符合公司总的质量、环境、职业健康安全目标，20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月30日 ，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辛文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进行了统计及目标实现分析，经查，达成目标，并将管理目标完成情况在公司会议上进行通报。</w:t>
            </w:r>
          </w:p>
          <w:p>
            <w:pPr>
              <w:spacing w:line="360" w:lineRule="auto"/>
              <w:ind w:left="55" w:leftChars="26" w:firstLine="315" w:firstLineChars="150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环境管理方案：</w:t>
            </w:r>
          </w:p>
          <w:p>
            <w:pPr>
              <w:spacing w:line="360" w:lineRule="auto"/>
              <w:ind w:left="55" w:leftChars="26" w:firstLine="315" w:firstLineChars="150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提供了 编号《环境目标、指标、管理方案》， 管理方案内容包括如下：环境目标、环境指标、管理措施、完成时间、责任部门等内容。具有一定的可操作性。</w:t>
            </w:r>
          </w:p>
          <w:p>
            <w:pPr>
              <w:spacing w:line="360" w:lineRule="auto"/>
              <w:ind w:left="55" w:leftChars="26" w:firstLine="315" w:firstLineChars="150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Cs w:val="21"/>
              </w:rPr>
              <w:t>抽查管理方案的实施情况</w:t>
            </w:r>
          </w:p>
          <w:p>
            <w:pPr>
              <w:spacing w:line="360" w:lineRule="auto"/>
              <w:ind w:left="55" w:leftChars="26" w:firstLine="315" w:firstLineChars="150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对噪声达标排放 采取措施如下：1.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建立环境保护管理规定；噪声隔离，减少接触时间；2.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加强设备维修保养润滑，减少噪声排放。完成情况：于20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21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24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日对生产车间进行噪声控制检查，符合要求。</w:t>
            </w:r>
          </w:p>
          <w:p>
            <w:pPr>
              <w:spacing w:line="360" w:lineRule="auto"/>
              <w:ind w:left="55" w:leftChars="26" w:firstLine="315" w:firstLineChars="150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对粉尘达标排放 采取措施如下：1.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建立生产现场环境保护管理制度，定时洒水、清扫；2.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原材料堆场、生产车间正在进行全覆盖工程。完成情况：于20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21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24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日对生产车间进行粉尘控制检查，符合要求。</w:t>
            </w:r>
          </w:p>
          <w:p>
            <w:pPr>
              <w:spacing w:line="360" w:lineRule="auto"/>
              <w:ind w:left="55" w:leftChars="26" w:firstLine="315" w:firstLineChars="150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职业健康安全管理方案：</w:t>
            </w:r>
          </w:p>
          <w:p>
            <w:pPr>
              <w:spacing w:line="360" w:lineRule="auto"/>
              <w:ind w:left="55" w:leftChars="26" w:firstLine="315" w:firstLineChars="150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Cs w:val="21"/>
              </w:rPr>
              <w:t>编号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《职业健康安全目标及管理方案》，管理方案内容如下：</w:t>
            </w:r>
          </w:p>
          <w:p>
            <w:pPr>
              <w:spacing w:line="360" w:lineRule="auto"/>
              <w:ind w:left="55" w:leftChars="26" w:firstLine="315" w:firstLineChars="150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查看管理方案及实施情况：目标、对应不可接受风险、管理措施、实施时间等内容。具有一定的可操作性。</w:t>
            </w:r>
          </w:p>
          <w:p>
            <w:pPr>
              <w:spacing w:line="360" w:lineRule="auto"/>
              <w:ind w:left="55" w:leftChars="26" w:firstLine="315" w:firstLineChars="150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Cs w:val="21"/>
              </w:rPr>
              <w:t>抽查管理方案的实施情况</w:t>
            </w:r>
          </w:p>
          <w:p>
            <w:pPr>
              <w:spacing w:line="360" w:lineRule="auto"/>
              <w:ind w:left="55" w:leftChars="26" w:firstLine="315" w:firstLineChars="150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Cs w:val="21"/>
              </w:rPr>
              <w:t>高空坠落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采取措施如下：周边防护高处高于作业面。完成情况：于20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21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月30日检查生产车间安全防护到位符合要求。</w:t>
            </w:r>
          </w:p>
          <w:p>
            <w:pPr>
              <w:spacing w:line="360" w:lineRule="auto"/>
              <w:ind w:left="55" w:leftChars="26" w:firstLine="315" w:firstLineChars="15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职业病 采取措施如下：预防职业病，佩戴防护罩和耳塞。完成情况：于20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21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月30日检查生产车间，重要岗位佩戴了防护用品。</w:t>
            </w:r>
          </w:p>
          <w:p>
            <w:pPr>
              <w:spacing w:line="360" w:lineRule="auto"/>
              <w:ind w:left="55" w:leftChars="26" w:firstLine="315" w:firstLineChars="15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机械伤害 采取措施如下：为杜绝机械伤害，在设备使用前进行全面检查，制定设备安全操作规程。完成情况：于20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21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月30日进行了检测，规范操作。</w:t>
            </w:r>
          </w:p>
          <w:p>
            <w:pPr>
              <w:spacing w:line="360" w:lineRule="auto"/>
              <w:ind w:left="55" w:leftChars="26" w:firstLine="315" w:firstLineChars="15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火灾爆炸 采取措施如下：加强安全教育，杜绝违规操作，定期安全生产检查。完成情况：于202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月30日检查生产车间安全防护到位符合要求。</w:t>
            </w:r>
          </w:p>
          <w:p>
            <w:pPr>
              <w:spacing w:line="360" w:lineRule="auto"/>
              <w:ind w:left="55" w:leftChars="26" w:firstLine="315" w:firstLineChars="15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5269865</wp:posOffset>
                  </wp:positionH>
                  <wp:positionV relativeFrom="paragraph">
                    <wp:posOffset>556260</wp:posOffset>
                  </wp:positionV>
                  <wp:extent cx="1064895" cy="1420495"/>
                  <wp:effectExtent l="0" t="0" r="1905" b="1905"/>
                  <wp:wrapNone/>
                  <wp:docPr id="15" name="图片 15" descr="aef0bb226f8b39dc1bf89b4739f92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aef0bb226f8b39dc1bf89b4739f927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4895" cy="1420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1727200</wp:posOffset>
                  </wp:positionH>
                  <wp:positionV relativeFrom="paragraph">
                    <wp:posOffset>586740</wp:posOffset>
                  </wp:positionV>
                  <wp:extent cx="1704975" cy="1278890"/>
                  <wp:effectExtent l="0" t="0" r="9525" b="3810"/>
                  <wp:wrapNone/>
                  <wp:docPr id="13" name="图片 13" descr="4ebf3cfb6b082d1a6f4a925693b71e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4ebf3cfb6b082d1a6f4a925693b71ea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4975" cy="127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触电 采取措施如下：加强安全教育，杜绝违规操作，，禁止乱接乱搭电线，定期安全生产检查。完成情况：于202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月30日检查生产车间规范接线，符合要求。</w:t>
            </w:r>
          </w:p>
          <w:p>
            <w:pPr>
              <w:spacing w:line="360" w:lineRule="auto"/>
              <w:ind w:left="55" w:leftChars="26" w:firstLine="315" w:firstLineChars="150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3477260</wp:posOffset>
                  </wp:positionH>
                  <wp:positionV relativeFrom="paragraph">
                    <wp:posOffset>8890</wp:posOffset>
                  </wp:positionV>
                  <wp:extent cx="1687830" cy="1266190"/>
                  <wp:effectExtent l="0" t="0" r="1270" b="3810"/>
                  <wp:wrapNone/>
                  <wp:docPr id="14" name="图片 14" descr="85c50d35031cf6d67d37cc4479b977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85c50d35031cf6d67d37cc4479b977f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7830" cy="1266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2540</wp:posOffset>
                  </wp:positionV>
                  <wp:extent cx="1715135" cy="1286510"/>
                  <wp:effectExtent l="0" t="0" r="12065" b="8890"/>
                  <wp:wrapNone/>
                  <wp:docPr id="12" name="图片 12" descr="bb30d56ebb6df60adf93989063f71f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bb30d56ebb6df60adf93989063f71f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5135" cy="1286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360" w:lineRule="auto"/>
              <w:ind w:left="55" w:leftChars="26" w:firstLine="315" w:firstLineChars="150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</w:p>
          <w:p>
            <w:pPr>
              <w:spacing w:line="360" w:lineRule="auto"/>
              <w:ind w:left="55" w:leftChars="26" w:firstLine="315" w:firstLineChars="150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</w:p>
          <w:p>
            <w:pPr>
              <w:tabs>
                <w:tab w:val="left" w:pos="2879"/>
                <w:tab w:val="left" w:pos="8269"/>
              </w:tabs>
              <w:spacing w:line="360" w:lineRule="auto"/>
              <w:ind w:left="55" w:leftChars="26" w:firstLine="315" w:firstLineChars="150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ab/>
            </w:r>
          </w:p>
          <w:p>
            <w:pPr>
              <w:spacing w:line="360" w:lineRule="auto"/>
              <w:ind w:left="55" w:leftChars="26" w:firstLine="315" w:firstLineChars="150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</w:p>
        </w:tc>
        <w:tc>
          <w:tcPr>
            <w:tcW w:w="85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2160" w:type="dxa"/>
          </w:tcPr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环境因素的识别、评价；危险源辨识、风险评价和控制措施的确定</w:t>
            </w:r>
          </w:p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960" w:type="dxa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 xml:space="preserve">ES6.1.2 </w:t>
            </w:r>
          </w:p>
          <w:p>
            <w:pPr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0738" w:type="dxa"/>
          </w:tcPr>
          <w:p>
            <w:pPr>
              <w:spacing w:line="360" w:lineRule="auto"/>
              <w:ind w:firstLine="420" w:firstLineChars="200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生产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  <w:t>技术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部部长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刘永锋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述：公司制订《环境因素识别与评价控制程序》和《危险源识别与风险评价控制程序》，生产部根据混凝土生产过程及工作特点对涉及的环境因素、危险源进行了识别和辨识。</w:t>
            </w:r>
          </w:p>
          <w:p>
            <w:pPr>
              <w:spacing w:line="360" w:lineRule="auto"/>
              <w:ind w:firstLine="420" w:firstLineChars="200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在公司编制的</w:t>
            </w:r>
            <w:r>
              <w:rPr>
                <w:rFonts w:asciiTheme="minorEastAsia" w:hAnsiTheme="minorEastAsia" w:eastAsiaTheme="minorEastAsia" w:cstheme="minorEastAsia"/>
                <w:bCs/>
                <w:szCs w:val="21"/>
              </w:rPr>
              <w:t>”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环境因素识别与评价控制程序</w:t>
            </w:r>
            <w:r>
              <w:rPr>
                <w:rFonts w:asciiTheme="minorEastAsia" w:hAnsiTheme="minorEastAsia" w:eastAsiaTheme="minorEastAsia" w:cstheme="minorEastAsia"/>
                <w:bCs/>
                <w:szCs w:val="21"/>
              </w:rPr>
              <w:t>”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中，对环境因素识别和评价的目的、职责、工作程序和记录的要求均有明确的规定。</w:t>
            </w:r>
          </w:p>
          <w:p>
            <w:pPr>
              <w:spacing w:line="360" w:lineRule="auto"/>
              <w:ind w:firstLine="420" w:firstLineChars="200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查到《环境因素识别评价表》：已识别生产部的环境因素产生过程包括：原材料进场、砂石上料、</w:t>
            </w:r>
            <w:r>
              <w:rPr>
                <w:sz w:val="20"/>
              </w:rPr>
              <w:t>干混砂浆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搅拌、设备、空压机、</w:t>
            </w:r>
            <w:r>
              <w:rPr>
                <w:sz w:val="20"/>
              </w:rPr>
              <w:t>干混砂浆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运输、设备维修、办公用车的使用</w:t>
            </w:r>
            <w:r>
              <w:rPr>
                <w:rFonts w:hint="eastAsia" w:ascii="宋体" w:hAnsi="宋体" w:cs="宋体"/>
                <w:kern w:val="0"/>
                <w:szCs w:val="21"/>
              </w:rPr>
              <w:t>等过程中粉尘的排放，噪声的排放，能源的消耗，废水、废渣的排放、固废的废弃等，在环境评价过程中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考虑到环境影响、三种时态和三种状态等。使用分级评分的方式。基本合理。</w:t>
            </w:r>
          </w:p>
          <w:p>
            <w:pPr>
              <w:spacing w:beforeLines="50" w:line="200" w:lineRule="exact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 xml:space="preserve">参加环境因素辨识和评价人员：   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  <w:t>刘永锋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 xml:space="preserve">  审批 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  <w:t>刘杰士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 xml:space="preserve">   日期：20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  <w:t>15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 xml:space="preserve">日 </w:t>
            </w:r>
          </w:p>
          <w:p>
            <w:pPr>
              <w:spacing w:beforeLines="50" w:line="200" w:lineRule="exact"/>
              <w:ind w:firstLine="420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查到《重要环境因素清单》已识别重要环境因素包括：粉尘的排放、噪声的排放，明确的控制措施和责任部门，</w:t>
            </w:r>
          </w:p>
          <w:p>
            <w:pPr>
              <w:spacing w:beforeLines="50" w:line="200" w:lineRule="exact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基本合理。</w:t>
            </w:r>
          </w:p>
          <w:p>
            <w:pPr>
              <w:spacing w:line="360" w:lineRule="auto"/>
              <w:ind w:firstLine="420" w:firstLineChars="200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查到《危险源辨识与评价一览表》，内容有：作业活动名称、潜在危险因素、时态、状态、可导致事故、可采取控制措施、危险发生的可能性L、损失后果C、频繁程度E、等。识别出生产技术部（包括车队）危险源有：触电、火灾、机械伤害、听力损害、爆炸、高空坠落、中毒、职业病、人身伤害等。优先控制风险采用“LEC”方法进行评价。提供《不可接受风险清单》有：职业病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高空坠落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  <w:t>触电、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机械伤害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  <w:t>火灾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，并制定有控制措施。</w:t>
            </w:r>
            <w:bookmarkStart w:id="0" w:name="_GoBack"/>
            <w:bookmarkEnd w:id="0"/>
          </w:p>
          <w:p>
            <w:pPr>
              <w:spacing w:beforeLines="50" w:line="200" w:lineRule="exac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 xml:space="preserve">评价人： 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  <w:t>刘永锋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 xml:space="preserve">  审批 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  <w:t>刘杰士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 xml:space="preserve">   日期：20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  <w:t>15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日 。以上危险源识别基本全面、无遗漏，评价基本合理。</w:t>
            </w:r>
          </w:p>
        </w:tc>
        <w:tc>
          <w:tcPr>
            <w:tcW w:w="85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0" w:hRule="atLeast"/>
        </w:trPr>
        <w:tc>
          <w:tcPr>
            <w:tcW w:w="2160" w:type="dxa"/>
          </w:tcPr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环境和职业健康安全运行控制</w:t>
            </w:r>
          </w:p>
        </w:tc>
        <w:tc>
          <w:tcPr>
            <w:tcW w:w="960" w:type="dxa"/>
          </w:tcPr>
          <w:p>
            <w:pPr>
              <w:rPr>
                <w:rFonts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E</w:t>
            </w:r>
            <w:r>
              <w:rPr>
                <w:rFonts w:hint="eastAsia" w:asciiTheme="minorEastAsia" w:hAnsiTheme="minorEastAsia" w:eastAsiaTheme="minorEastAsia" w:cstheme="minorEastAsia"/>
                <w:b/>
                <w:szCs w:val="21"/>
                <w:lang w:val="en-US" w:eastAsia="zh-CN"/>
              </w:rPr>
              <w:t>S</w:t>
            </w: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8.1</w:t>
            </w:r>
          </w:p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0738" w:type="dxa"/>
          </w:tcPr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重要环境因素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  <w:t>危险源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的控制，依据公司的相关规定：节能降耗控制程序、废弃物控制程序、大气污染防治控制程序、噪声控制程序、消防管理控制程序等；</w:t>
            </w:r>
          </w:p>
          <w:p>
            <w:pPr>
              <w:numPr>
                <w:ilvl w:val="0"/>
                <w:numId w:val="1"/>
              </w:num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废水控制：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  <w:t>生产过程中无废水外排。生活废水经化粪池处理后进入一体化污水处理装置达到《污水综合排放标准》（GB8978-1996）表4一级标准要求后，可用于农灌。</w:t>
            </w:r>
          </w:p>
          <w:p>
            <w:pPr>
              <w:numPr>
                <w:ilvl w:val="0"/>
                <w:numId w:val="1"/>
              </w:num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噪声控制：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  <w:t>企业采取优化厂区平面布置，合理布置高噪声设备，对高噪声设备采取隔声、消声、减振及置于相对封闭的厂房内等措施，并对厂区进行绿化等措施降低噪声对周围环境的影响。</w:t>
            </w:r>
          </w:p>
          <w:p>
            <w:pPr>
              <w:numPr>
                <w:ilvl w:val="0"/>
                <w:numId w:val="1"/>
              </w:numPr>
              <w:rPr>
                <w:rFonts w:hint="default" w:asciiTheme="minorEastAsia" w:hAnsiTheme="minorEastAsia" w:eastAsiaTheme="minorEastAsia" w:cstheme="minorEastAsia"/>
                <w:bCs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废气控制：公司的生产设有属于密闭设备，自动化程度高，原料为颗粒状，在生产过程中废气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  <w:t>主要为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粉尘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  <w:t>来源于原料水泥罐、待混仓原料添加、成品装袋及物料场等产生的粉尘，经过布袋除尘器处理达标后，由15高排气筒外排。</w:t>
            </w:r>
          </w:p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4）固废控制：</w:t>
            </w:r>
          </w:p>
          <w:p>
            <w:pPr>
              <w:rPr>
                <w:rFonts w:hint="default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  <w:t>除尘器及车间收集的粉尘作为原料回用于生产；生活垃圾集中收集后由环卫部门定期清运。无危险废物。</w:t>
            </w:r>
          </w:p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5）能资源管理：公司规定人走灯灭，人走关水等节能节水措施，并互相监督</w:t>
            </w:r>
          </w:p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6）火灾事故预防：公司配备有灭火器等消防设施，有应急预案，相关人员经过培训。</w:t>
            </w:r>
          </w:p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7）触电：公司专人负责对电箱进行检查和维保，电气线路防护，措施到位。</w:t>
            </w:r>
          </w:p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8）机械伤害：车间悬挂操作规程，人员经过培训，设备定期保养</w:t>
            </w:r>
          </w:p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9）触电：电箱均有防触电标识，人员经过培训</w:t>
            </w:r>
          </w:p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提供人员社保清单：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Cs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公司制定了安全生产责任属，制定了安全目标考核制定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lang w:eastAsia="zh-CN"/>
              </w:rPr>
              <w:t>。</w:t>
            </w:r>
          </w:p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提供员工体检清单</w:t>
            </w:r>
          </w:p>
          <w:p>
            <w:pPr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提供员工个人防护清单</w:t>
            </w:r>
          </w:p>
          <w:p>
            <w:pPr>
              <w:rPr>
                <w:rFonts w:hint="default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  <w:t>未提供叉车、储气罐附件安全阀和压力表检验检定证据，开具了不符合。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Cs/>
                <w:szCs w:val="21"/>
                <w:lang w:eastAsia="zh-CN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bCs/>
                <w:szCs w:val="21"/>
                <w:lang w:eastAsia="zh-CN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bCs/>
                <w:szCs w:val="21"/>
                <w:lang w:eastAsia="zh-CN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bCs/>
                <w:szCs w:val="21"/>
                <w:lang w:eastAsia="zh-CN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bCs/>
                <w:szCs w:val="21"/>
                <w:lang w:eastAsia="zh-CN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bCs/>
                <w:szCs w:val="21"/>
                <w:lang w:eastAsia="zh-CN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bCs/>
                <w:szCs w:val="21"/>
                <w:lang w:eastAsia="zh-CN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bCs/>
                <w:szCs w:val="21"/>
                <w:lang w:eastAsia="zh-CN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bCs/>
                <w:szCs w:val="21"/>
                <w:lang w:eastAsia="zh-CN"/>
              </w:rPr>
            </w:pPr>
          </w:p>
          <w:p>
            <w:pPr>
              <w:rPr>
                <w:rFonts w:hint="default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851" w:type="dxa"/>
          </w:tcPr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N</w:t>
            </w:r>
          </w:p>
          <w:p/>
          <w:p/>
          <w:p/>
          <w:p/>
          <w:p/>
          <w:p/>
          <w:p/>
          <w:p/>
          <w:p/>
          <w:p/>
          <w:p/>
          <w:p/>
          <w:p/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2160" w:type="dxa"/>
          </w:tcPr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应急准备和响应</w:t>
            </w:r>
          </w:p>
        </w:tc>
        <w:tc>
          <w:tcPr>
            <w:tcW w:w="960" w:type="dxa"/>
          </w:tcPr>
          <w:p>
            <w:pPr>
              <w:rPr>
                <w:rFonts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ES8.2</w:t>
            </w:r>
          </w:p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0738" w:type="dxa"/>
          </w:tcPr>
          <w:p>
            <w:pPr>
              <w:spacing w:line="240" w:lineRule="auto"/>
              <w:ind w:firstLine="210" w:firstLineChars="100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负责人介绍，公司制定《应急准备和响应控制程序》、《应急救援预案》等，包括：火灾、爆炸应急预案、生产车间中毒、梅雨、雷电等恶劣天气应急预案、高空坠落应急预案等</w:t>
            </w:r>
          </w:p>
          <w:p>
            <w:pPr>
              <w:spacing w:line="240" w:lineRule="auto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见：《</w:t>
            </w:r>
            <w:r>
              <w:rPr>
                <w:rFonts w:hint="eastAsia"/>
                <w:sz w:val="21"/>
                <w:szCs w:val="21"/>
              </w:rPr>
              <w:t>高空坠落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预案演练记录》</w:t>
            </w:r>
          </w:p>
          <w:p>
            <w:pPr>
              <w:spacing w:line="240" w:lineRule="auto"/>
              <w:ind w:firstLine="420" w:firstLineChars="200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演练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时间 ：20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月2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日</w:t>
            </w:r>
          </w:p>
          <w:p>
            <w:pPr>
              <w:spacing w:line="240" w:lineRule="auto"/>
              <w:ind w:firstLine="420" w:firstLineChars="200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演练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地点：1号仓</w:t>
            </w:r>
          </w:p>
          <w:p>
            <w:pPr>
              <w:spacing w:line="240" w:lineRule="auto"/>
              <w:ind w:firstLine="420" w:firstLineChars="200"/>
              <w:rPr>
                <w:rFonts w:hint="default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演练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部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门：生产部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  <w:t>及公司各部门</w:t>
            </w:r>
          </w:p>
          <w:p>
            <w:pPr>
              <w:spacing w:line="240" w:lineRule="auto"/>
              <w:ind w:firstLine="420" w:firstLineChars="200"/>
              <w:rPr>
                <w:rFonts w:hint="default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  <w:t>负责人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刘永锋</w:t>
            </w:r>
          </w:p>
          <w:p>
            <w:pPr>
              <w:spacing w:line="240" w:lineRule="auto"/>
              <w:ind w:firstLine="420" w:firstLineChars="200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参加人员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  <w:t>生产部和各部门相关人员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等。过程记录详细。</w:t>
            </w:r>
          </w:p>
          <w:p>
            <w:pPr>
              <w:pStyle w:val="18"/>
              <w:spacing w:line="240" w:lineRule="auto"/>
              <w:ind w:firstLine="460" w:firstLineChars="20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见：20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月2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日组织了</w:t>
            </w:r>
            <w:r>
              <w:rPr>
                <w:rFonts w:hint="eastAsia" w:asciiTheme="minorEastAsia" w:hAnsiTheme="minorEastAsia" w:eastAsiaTheme="minorEastAsia" w:cstheme="minorEastAsia"/>
                <w:bCs w:val="0"/>
                <w:szCs w:val="21"/>
                <w:lang w:val="en-US" w:eastAsia="zh-CN"/>
              </w:rPr>
              <w:t>火灾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预案演练，演练中不但讲解了</w:t>
            </w:r>
            <w:r>
              <w:rPr>
                <w:rFonts w:hint="eastAsia" w:asciiTheme="minorEastAsia" w:hAnsiTheme="minorEastAsia" w:eastAsiaTheme="minorEastAsia" w:cstheme="minorEastAsia"/>
                <w:bCs w:val="0"/>
                <w:szCs w:val="21"/>
                <w:lang w:val="en-US" w:eastAsia="zh-CN"/>
              </w:rPr>
              <w:t>火灾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发生后的处理流程，包括汇报机制，通知医院，疏导交通保证救援通道畅通，实施抢救等，并在演练结束后进行了总结，应急预案有可操作性，应急人员基本掌握该方案，能够应对突发事件。</w:t>
            </w:r>
          </w:p>
          <w:p>
            <w:pPr>
              <w:spacing w:line="240" w:lineRule="auto"/>
              <w:ind w:firstLine="525" w:firstLineChars="250"/>
              <w:rPr>
                <w:rFonts w:hAnsiTheme="minorEastAsia" w:eastAsiaTheme="minorEastAsia"/>
                <w:sz w:val="21"/>
                <w:szCs w:val="21"/>
              </w:rPr>
            </w:pPr>
            <w:r>
              <w:rPr>
                <w:rFonts w:hint="eastAsia" w:hAnsiTheme="minorEastAsia" w:eastAsiaTheme="minorEastAsia"/>
                <w:sz w:val="21"/>
                <w:szCs w:val="21"/>
              </w:rPr>
              <w:t>针对近期出现的新型冠状病毒引发的肺炎疫情，公司制定了疫情防控预案，公司有进行返岗人员健康报备管理、每日人员出入登记/量体温/戴口罩、是否发热、办公区域消毒、分餐制用餐时间管理等，严格按政府和预案的要求执行。</w:t>
            </w:r>
          </w:p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基本符合。</w:t>
            </w:r>
          </w:p>
        </w:tc>
        <w:tc>
          <w:tcPr>
            <w:tcW w:w="851" w:type="dxa"/>
          </w:tcPr>
          <w:p/>
        </w:tc>
      </w:tr>
    </w:tbl>
    <w:p>
      <w:r>
        <w:ptab w:relativeTo="margin" w:alignment="center" w:leader="none"/>
      </w:r>
    </w:p>
    <w:p>
      <w:pPr>
        <w:pStyle w:val="5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30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30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5"/>
        <w:rFonts w:hint="default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5"/>
        <w:rFonts w:hint="default"/>
      </w:rPr>
      <w:t>北京国标联合认证有限公司</w:t>
    </w:r>
    <w:r>
      <w:rPr>
        <w:rStyle w:val="15"/>
        <w:rFonts w:hint="default"/>
      </w:rPr>
      <w:tab/>
    </w:r>
    <w:r>
      <w:rPr>
        <w:rStyle w:val="15"/>
        <w:rFonts w:hint="default"/>
      </w:rPr>
      <w:tab/>
    </w:r>
    <w:r>
      <w:rPr>
        <w:rStyle w:val="15"/>
        <w:rFonts w:hint="default"/>
      </w:rPr>
      <w:tab/>
    </w:r>
  </w:p>
  <w:p>
    <w:pPr>
      <w:pStyle w:val="6"/>
      <w:pBdr>
        <w:bottom w:val="none" w:color="auto" w:sz="0" w:space="1"/>
      </w:pBdr>
      <w:spacing w:line="320" w:lineRule="exact"/>
      <w:jc w:val="left"/>
    </w:pPr>
    <w:r>
      <w:pict>
        <v:shape id="文本框 1" o:spid="_x0000_s4097" o:spt="202" type="#_x0000_t202" style="position:absolute;left:0pt;margin-left:554.75pt;margin-top:2.2pt;height:20.2pt;width:172pt;z-index:251660288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-31管理体系审核记录表(03版)</w:t>
                </w:r>
              </w:p>
            </w:txbxContent>
          </v:textbox>
        </v:shape>
      </w:pict>
    </w:r>
    <w:r>
      <w:rPr>
        <w:rStyle w:val="15"/>
        <w:rFonts w:hint="default"/>
        <w:w w:val="90"/>
      </w:rPr>
      <w:t>Beijing International Standard united Certification Co.,Ltd.</w:t>
    </w:r>
  </w:p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A507B7"/>
    <w:multiLevelType w:val="singleLevel"/>
    <w:tmpl w:val="62A507B7"/>
    <w:lvl w:ilvl="0" w:tentative="0">
      <w:start w:val="1"/>
      <w:numFmt w:val="decimal"/>
      <w:suff w:val="nothing"/>
      <w:lvlText w:val="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00AE"/>
    <w:rsid w:val="00005BB9"/>
    <w:rsid w:val="000066A8"/>
    <w:rsid w:val="00007D0C"/>
    <w:rsid w:val="00010B6C"/>
    <w:rsid w:val="00011201"/>
    <w:rsid w:val="00013542"/>
    <w:rsid w:val="00013FDC"/>
    <w:rsid w:val="000143B6"/>
    <w:rsid w:val="00016400"/>
    <w:rsid w:val="00021448"/>
    <w:rsid w:val="000230D8"/>
    <w:rsid w:val="000237F6"/>
    <w:rsid w:val="00024542"/>
    <w:rsid w:val="0003373A"/>
    <w:rsid w:val="0003528B"/>
    <w:rsid w:val="000357EA"/>
    <w:rsid w:val="00035B70"/>
    <w:rsid w:val="000400E2"/>
    <w:rsid w:val="00041CB4"/>
    <w:rsid w:val="00042845"/>
    <w:rsid w:val="00043BFA"/>
    <w:rsid w:val="00044058"/>
    <w:rsid w:val="00044D37"/>
    <w:rsid w:val="0004770E"/>
    <w:rsid w:val="000477B2"/>
    <w:rsid w:val="00051FC7"/>
    <w:rsid w:val="00054C43"/>
    <w:rsid w:val="000552D4"/>
    <w:rsid w:val="000570CC"/>
    <w:rsid w:val="00062369"/>
    <w:rsid w:val="00062E46"/>
    <w:rsid w:val="00064067"/>
    <w:rsid w:val="00067008"/>
    <w:rsid w:val="00067168"/>
    <w:rsid w:val="00067B69"/>
    <w:rsid w:val="000712FC"/>
    <w:rsid w:val="000759E0"/>
    <w:rsid w:val="00083A24"/>
    <w:rsid w:val="000915E2"/>
    <w:rsid w:val="00093361"/>
    <w:rsid w:val="000940EF"/>
    <w:rsid w:val="0009442F"/>
    <w:rsid w:val="00095137"/>
    <w:rsid w:val="000A0AAD"/>
    <w:rsid w:val="000B27C8"/>
    <w:rsid w:val="000B3A37"/>
    <w:rsid w:val="000B3BCA"/>
    <w:rsid w:val="000B54B9"/>
    <w:rsid w:val="000B6328"/>
    <w:rsid w:val="000B75B4"/>
    <w:rsid w:val="000B7BA6"/>
    <w:rsid w:val="000C6359"/>
    <w:rsid w:val="000C6395"/>
    <w:rsid w:val="000D0B44"/>
    <w:rsid w:val="000D2AD7"/>
    <w:rsid w:val="000D3E88"/>
    <w:rsid w:val="000E7118"/>
    <w:rsid w:val="000E7226"/>
    <w:rsid w:val="000F0D61"/>
    <w:rsid w:val="000F0F7E"/>
    <w:rsid w:val="000F2701"/>
    <w:rsid w:val="000F2D62"/>
    <w:rsid w:val="00112782"/>
    <w:rsid w:val="00113541"/>
    <w:rsid w:val="00117DD7"/>
    <w:rsid w:val="00121BFE"/>
    <w:rsid w:val="00131E26"/>
    <w:rsid w:val="00132BCA"/>
    <w:rsid w:val="00132E6E"/>
    <w:rsid w:val="00141599"/>
    <w:rsid w:val="001503E3"/>
    <w:rsid w:val="001532A4"/>
    <w:rsid w:val="00161D50"/>
    <w:rsid w:val="00164759"/>
    <w:rsid w:val="00167105"/>
    <w:rsid w:val="00167A09"/>
    <w:rsid w:val="00170039"/>
    <w:rsid w:val="00171DD5"/>
    <w:rsid w:val="001763EE"/>
    <w:rsid w:val="00176E59"/>
    <w:rsid w:val="0017723E"/>
    <w:rsid w:val="00177670"/>
    <w:rsid w:val="00182D6A"/>
    <w:rsid w:val="00182DFD"/>
    <w:rsid w:val="00183422"/>
    <w:rsid w:val="001865A5"/>
    <w:rsid w:val="00186D1A"/>
    <w:rsid w:val="00192FF0"/>
    <w:rsid w:val="00193594"/>
    <w:rsid w:val="0019698C"/>
    <w:rsid w:val="001A0271"/>
    <w:rsid w:val="001A26B6"/>
    <w:rsid w:val="001A2D7F"/>
    <w:rsid w:val="001A7792"/>
    <w:rsid w:val="001B0503"/>
    <w:rsid w:val="001C0228"/>
    <w:rsid w:val="001C56CA"/>
    <w:rsid w:val="001C6AF4"/>
    <w:rsid w:val="001D45A7"/>
    <w:rsid w:val="001D5E29"/>
    <w:rsid w:val="001D7441"/>
    <w:rsid w:val="001E08F3"/>
    <w:rsid w:val="002002D5"/>
    <w:rsid w:val="002004CC"/>
    <w:rsid w:val="00201111"/>
    <w:rsid w:val="00201D35"/>
    <w:rsid w:val="00210A9A"/>
    <w:rsid w:val="002134FE"/>
    <w:rsid w:val="0021644A"/>
    <w:rsid w:val="00225BAB"/>
    <w:rsid w:val="002308F2"/>
    <w:rsid w:val="00240CA1"/>
    <w:rsid w:val="00243B9F"/>
    <w:rsid w:val="0024679C"/>
    <w:rsid w:val="00250BC1"/>
    <w:rsid w:val="00250DD4"/>
    <w:rsid w:val="00250FDA"/>
    <w:rsid w:val="002563B0"/>
    <w:rsid w:val="0026014F"/>
    <w:rsid w:val="00272022"/>
    <w:rsid w:val="00273E21"/>
    <w:rsid w:val="00275B75"/>
    <w:rsid w:val="00276B24"/>
    <w:rsid w:val="00283BA5"/>
    <w:rsid w:val="00284D93"/>
    <w:rsid w:val="00286B41"/>
    <w:rsid w:val="002927F5"/>
    <w:rsid w:val="002939AD"/>
    <w:rsid w:val="00296B99"/>
    <w:rsid w:val="00296CED"/>
    <w:rsid w:val="002A2EAA"/>
    <w:rsid w:val="002A52FC"/>
    <w:rsid w:val="002A674D"/>
    <w:rsid w:val="002B0BAF"/>
    <w:rsid w:val="002B1852"/>
    <w:rsid w:val="002B2260"/>
    <w:rsid w:val="002B33F0"/>
    <w:rsid w:val="002B4C80"/>
    <w:rsid w:val="002B7FFD"/>
    <w:rsid w:val="002C7BF3"/>
    <w:rsid w:val="002D0D47"/>
    <w:rsid w:val="002D3565"/>
    <w:rsid w:val="002E2412"/>
    <w:rsid w:val="002E4419"/>
    <w:rsid w:val="002E482D"/>
    <w:rsid w:val="002F191A"/>
    <w:rsid w:val="002F1C7F"/>
    <w:rsid w:val="002F5C35"/>
    <w:rsid w:val="00300869"/>
    <w:rsid w:val="00302B44"/>
    <w:rsid w:val="00306719"/>
    <w:rsid w:val="00311187"/>
    <w:rsid w:val="00316125"/>
    <w:rsid w:val="00317BBD"/>
    <w:rsid w:val="003224A8"/>
    <w:rsid w:val="003227F7"/>
    <w:rsid w:val="00324557"/>
    <w:rsid w:val="00337062"/>
    <w:rsid w:val="00337322"/>
    <w:rsid w:val="00337922"/>
    <w:rsid w:val="0034023F"/>
    <w:rsid w:val="00340867"/>
    <w:rsid w:val="00341272"/>
    <w:rsid w:val="003451D4"/>
    <w:rsid w:val="00350FA4"/>
    <w:rsid w:val="00352777"/>
    <w:rsid w:val="00354BEE"/>
    <w:rsid w:val="00362EB4"/>
    <w:rsid w:val="00363D1A"/>
    <w:rsid w:val="003664FA"/>
    <w:rsid w:val="00376139"/>
    <w:rsid w:val="00376EDA"/>
    <w:rsid w:val="00380837"/>
    <w:rsid w:val="00381E31"/>
    <w:rsid w:val="00383276"/>
    <w:rsid w:val="0039016D"/>
    <w:rsid w:val="00391DF4"/>
    <w:rsid w:val="003957EC"/>
    <w:rsid w:val="003960CD"/>
    <w:rsid w:val="003A198A"/>
    <w:rsid w:val="003A24D0"/>
    <w:rsid w:val="003A4993"/>
    <w:rsid w:val="003A5EAC"/>
    <w:rsid w:val="003A6DF5"/>
    <w:rsid w:val="003A7BEC"/>
    <w:rsid w:val="003B525E"/>
    <w:rsid w:val="003C2228"/>
    <w:rsid w:val="003D0C55"/>
    <w:rsid w:val="003D3525"/>
    <w:rsid w:val="003E08A5"/>
    <w:rsid w:val="003E1B24"/>
    <w:rsid w:val="003E5244"/>
    <w:rsid w:val="003E63C0"/>
    <w:rsid w:val="003F13EA"/>
    <w:rsid w:val="003F2DCC"/>
    <w:rsid w:val="003F55A0"/>
    <w:rsid w:val="003F627A"/>
    <w:rsid w:val="003F7283"/>
    <w:rsid w:val="003F77BC"/>
    <w:rsid w:val="00400E92"/>
    <w:rsid w:val="004032D3"/>
    <w:rsid w:val="00404A23"/>
    <w:rsid w:val="00404A88"/>
    <w:rsid w:val="00405064"/>
    <w:rsid w:val="00405301"/>
    <w:rsid w:val="00406133"/>
    <w:rsid w:val="00407ED9"/>
    <w:rsid w:val="00410914"/>
    <w:rsid w:val="004162B1"/>
    <w:rsid w:val="00417088"/>
    <w:rsid w:val="00423894"/>
    <w:rsid w:val="00431A74"/>
    <w:rsid w:val="00435A8B"/>
    <w:rsid w:val="00435C09"/>
    <w:rsid w:val="004405E3"/>
    <w:rsid w:val="00440E39"/>
    <w:rsid w:val="00442E5D"/>
    <w:rsid w:val="00442EE6"/>
    <w:rsid w:val="004435A3"/>
    <w:rsid w:val="004471B6"/>
    <w:rsid w:val="004473D0"/>
    <w:rsid w:val="004579BB"/>
    <w:rsid w:val="00457AEB"/>
    <w:rsid w:val="00457BAF"/>
    <w:rsid w:val="0046098C"/>
    <w:rsid w:val="00465AA8"/>
    <w:rsid w:val="00466E9E"/>
    <w:rsid w:val="004700B4"/>
    <w:rsid w:val="004703DB"/>
    <w:rsid w:val="0047041E"/>
    <w:rsid w:val="00474190"/>
    <w:rsid w:val="00475BBE"/>
    <w:rsid w:val="00476F13"/>
    <w:rsid w:val="00477027"/>
    <w:rsid w:val="004770A6"/>
    <w:rsid w:val="004801A0"/>
    <w:rsid w:val="0048089D"/>
    <w:rsid w:val="004809E2"/>
    <w:rsid w:val="004815EB"/>
    <w:rsid w:val="004869FD"/>
    <w:rsid w:val="00490331"/>
    <w:rsid w:val="0049043E"/>
    <w:rsid w:val="00490533"/>
    <w:rsid w:val="00494314"/>
    <w:rsid w:val="004947BE"/>
    <w:rsid w:val="00495865"/>
    <w:rsid w:val="00496F38"/>
    <w:rsid w:val="00497E4E"/>
    <w:rsid w:val="004A0465"/>
    <w:rsid w:val="004B37F6"/>
    <w:rsid w:val="004B45D5"/>
    <w:rsid w:val="004C1CE7"/>
    <w:rsid w:val="004C6812"/>
    <w:rsid w:val="004D2D34"/>
    <w:rsid w:val="004E0424"/>
    <w:rsid w:val="004E216E"/>
    <w:rsid w:val="004F1155"/>
    <w:rsid w:val="004F15A7"/>
    <w:rsid w:val="004F283E"/>
    <w:rsid w:val="004F31F2"/>
    <w:rsid w:val="00500C96"/>
    <w:rsid w:val="0050379C"/>
    <w:rsid w:val="00503E48"/>
    <w:rsid w:val="005074BD"/>
    <w:rsid w:val="00512490"/>
    <w:rsid w:val="00512602"/>
    <w:rsid w:val="00512F02"/>
    <w:rsid w:val="00514353"/>
    <w:rsid w:val="0051463D"/>
    <w:rsid w:val="00514666"/>
    <w:rsid w:val="00517872"/>
    <w:rsid w:val="00524367"/>
    <w:rsid w:val="00530F23"/>
    <w:rsid w:val="00532496"/>
    <w:rsid w:val="00535ADF"/>
    <w:rsid w:val="00536930"/>
    <w:rsid w:val="00536986"/>
    <w:rsid w:val="00540DD8"/>
    <w:rsid w:val="0054239E"/>
    <w:rsid w:val="005427AF"/>
    <w:rsid w:val="00546EE4"/>
    <w:rsid w:val="00550C42"/>
    <w:rsid w:val="00552571"/>
    <w:rsid w:val="005560EC"/>
    <w:rsid w:val="00560DB6"/>
    <w:rsid w:val="00562A63"/>
    <w:rsid w:val="0056388C"/>
    <w:rsid w:val="00564E53"/>
    <w:rsid w:val="00565DA1"/>
    <w:rsid w:val="00571BEC"/>
    <w:rsid w:val="005752A6"/>
    <w:rsid w:val="00575E2B"/>
    <w:rsid w:val="0058374A"/>
    <w:rsid w:val="00595FCA"/>
    <w:rsid w:val="005A3104"/>
    <w:rsid w:val="005A3C19"/>
    <w:rsid w:val="005A60C4"/>
    <w:rsid w:val="005B096D"/>
    <w:rsid w:val="005B1AAA"/>
    <w:rsid w:val="005B6792"/>
    <w:rsid w:val="005C20AE"/>
    <w:rsid w:val="005D2741"/>
    <w:rsid w:val="005D5659"/>
    <w:rsid w:val="005D6138"/>
    <w:rsid w:val="005E51DB"/>
    <w:rsid w:val="005E69A4"/>
    <w:rsid w:val="005F118F"/>
    <w:rsid w:val="005F6320"/>
    <w:rsid w:val="005F6A25"/>
    <w:rsid w:val="005F763D"/>
    <w:rsid w:val="00600C20"/>
    <w:rsid w:val="00600D5D"/>
    <w:rsid w:val="0060101B"/>
    <w:rsid w:val="00602295"/>
    <w:rsid w:val="00614C4D"/>
    <w:rsid w:val="00620115"/>
    <w:rsid w:val="00623806"/>
    <w:rsid w:val="00624B0B"/>
    <w:rsid w:val="00624BAA"/>
    <w:rsid w:val="00626E04"/>
    <w:rsid w:val="00627E30"/>
    <w:rsid w:val="00630F87"/>
    <w:rsid w:val="006310F1"/>
    <w:rsid w:val="00637C14"/>
    <w:rsid w:val="00640A35"/>
    <w:rsid w:val="00640EC3"/>
    <w:rsid w:val="0064183D"/>
    <w:rsid w:val="00642DF2"/>
    <w:rsid w:val="00642F86"/>
    <w:rsid w:val="00644FE2"/>
    <w:rsid w:val="00646919"/>
    <w:rsid w:val="00646950"/>
    <w:rsid w:val="00650BFB"/>
    <w:rsid w:val="006510E0"/>
    <w:rsid w:val="006528B2"/>
    <w:rsid w:val="00657BDB"/>
    <w:rsid w:val="00660A1E"/>
    <w:rsid w:val="00660BAE"/>
    <w:rsid w:val="00670CF2"/>
    <w:rsid w:val="00672FF3"/>
    <w:rsid w:val="006743FE"/>
    <w:rsid w:val="00675838"/>
    <w:rsid w:val="0067640C"/>
    <w:rsid w:val="006767D9"/>
    <w:rsid w:val="00692649"/>
    <w:rsid w:val="00694AD9"/>
    <w:rsid w:val="006A271A"/>
    <w:rsid w:val="006B292D"/>
    <w:rsid w:val="006B54AE"/>
    <w:rsid w:val="006B6BAD"/>
    <w:rsid w:val="006B7EE8"/>
    <w:rsid w:val="006C4ABE"/>
    <w:rsid w:val="006C4CF1"/>
    <w:rsid w:val="006D1A9A"/>
    <w:rsid w:val="006D2CFB"/>
    <w:rsid w:val="006E0E7B"/>
    <w:rsid w:val="006E2ABF"/>
    <w:rsid w:val="006E2AD9"/>
    <w:rsid w:val="006E667D"/>
    <w:rsid w:val="006E678B"/>
    <w:rsid w:val="006E6DEB"/>
    <w:rsid w:val="006F5295"/>
    <w:rsid w:val="00700680"/>
    <w:rsid w:val="00703F6B"/>
    <w:rsid w:val="00705CA8"/>
    <w:rsid w:val="00712323"/>
    <w:rsid w:val="00714AF2"/>
    <w:rsid w:val="0071778F"/>
    <w:rsid w:val="00722B8D"/>
    <w:rsid w:val="00730F34"/>
    <w:rsid w:val="00731085"/>
    <w:rsid w:val="00732403"/>
    <w:rsid w:val="0073384A"/>
    <w:rsid w:val="00734B19"/>
    <w:rsid w:val="00737F35"/>
    <w:rsid w:val="00740121"/>
    <w:rsid w:val="00740711"/>
    <w:rsid w:val="00743619"/>
    <w:rsid w:val="007438B3"/>
    <w:rsid w:val="0074390F"/>
    <w:rsid w:val="0076143E"/>
    <w:rsid w:val="0076330C"/>
    <w:rsid w:val="00764DF4"/>
    <w:rsid w:val="0077003F"/>
    <w:rsid w:val="00771119"/>
    <w:rsid w:val="00772534"/>
    <w:rsid w:val="007757F3"/>
    <w:rsid w:val="007762B9"/>
    <w:rsid w:val="007771BE"/>
    <w:rsid w:val="00783836"/>
    <w:rsid w:val="007841DD"/>
    <w:rsid w:val="00794608"/>
    <w:rsid w:val="007A0FE4"/>
    <w:rsid w:val="007A47AB"/>
    <w:rsid w:val="007A630D"/>
    <w:rsid w:val="007B47F9"/>
    <w:rsid w:val="007B757C"/>
    <w:rsid w:val="007B7F25"/>
    <w:rsid w:val="007C0B5D"/>
    <w:rsid w:val="007C5E3B"/>
    <w:rsid w:val="007C7721"/>
    <w:rsid w:val="007E30A2"/>
    <w:rsid w:val="007E353D"/>
    <w:rsid w:val="007E3C3B"/>
    <w:rsid w:val="007E6AEB"/>
    <w:rsid w:val="007F52D1"/>
    <w:rsid w:val="00804322"/>
    <w:rsid w:val="0081451B"/>
    <w:rsid w:val="00814EF7"/>
    <w:rsid w:val="00823411"/>
    <w:rsid w:val="0082373C"/>
    <w:rsid w:val="00826C14"/>
    <w:rsid w:val="0082774E"/>
    <w:rsid w:val="008367A4"/>
    <w:rsid w:val="00843B03"/>
    <w:rsid w:val="008478D1"/>
    <w:rsid w:val="0085006B"/>
    <w:rsid w:val="00852C23"/>
    <w:rsid w:val="00853342"/>
    <w:rsid w:val="0085436D"/>
    <w:rsid w:val="00857995"/>
    <w:rsid w:val="00857A18"/>
    <w:rsid w:val="00861AFC"/>
    <w:rsid w:val="00864284"/>
    <w:rsid w:val="00866BFF"/>
    <w:rsid w:val="00873555"/>
    <w:rsid w:val="0087523E"/>
    <w:rsid w:val="00877AEF"/>
    <w:rsid w:val="008813F1"/>
    <w:rsid w:val="00881DA9"/>
    <w:rsid w:val="008825E3"/>
    <w:rsid w:val="0088457E"/>
    <w:rsid w:val="00891D78"/>
    <w:rsid w:val="008973EE"/>
    <w:rsid w:val="008A1DC6"/>
    <w:rsid w:val="008A2DF9"/>
    <w:rsid w:val="008A3324"/>
    <w:rsid w:val="008A351F"/>
    <w:rsid w:val="008A4E0D"/>
    <w:rsid w:val="008B0F12"/>
    <w:rsid w:val="008B52E8"/>
    <w:rsid w:val="008B5C2A"/>
    <w:rsid w:val="008B6322"/>
    <w:rsid w:val="008B6590"/>
    <w:rsid w:val="008C0C23"/>
    <w:rsid w:val="008C15F5"/>
    <w:rsid w:val="008C1B99"/>
    <w:rsid w:val="008C44D9"/>
    <w:rsid w:val="008C70B9"/>
    <w:rsid w:val="008D060A"/>
    <w:rsid w:val="008D4EA9"/>
    <w:rsid w:val="008D74EB"/>
    <w:rsid w:val="008E6797"/>
    <w:rsid w:val="008E7155"/>
    <w:rsid w:val="008F045B"/>
    <w:rsid w:val="008F075F"/>
    <w:rsid w:val="008F20C1"/>
    <w:rsid w:val="008F440F"/>
    <w:rsid w:val="008F45AD"/>
    <w:rsid w:val="008F5DD9"/>
    <w:rsid w:val="00901FD0"/>
    <w:rsid w:val="009030F0"/>
    <w:rsid w:val="0091425C"/>
    <w:rsid w:val="00914A41"/>
    <w:rsid w:val="00916C2F"/>
    <w:rsid w:val="00920F82"/>
    <w:rsid w:val="00921890"/>
    <w:rsid w:val="009219CE"/>
    <w:rsid w:val="00923985"/>
    <w:rsid w:val="00923F7D"/>
    <w:rsid w:val="0092588E"/>
    <w:rsid w:val="00927E16"/>
    <w:rsid w:val="009301FB"/>
    <w:rsid w:val="009372E6"/>
    <w:rsid w:val="0094079F"/>
    <w:rsid w:val="009421F1"/>
    <w:rsid w:val="009579F8"/>
    <w:rsid w:val="00957A9A"/>
    <w:rsid w:val="00960D4B"/>
    <w:rsid w:val="0096316A"/>
    <w:rsid w:val="0096354F"/>
    <w:rsid w:val="0096416E"/>
    <w:rsid w:val="0096519A"/>
    <w:rsid w:val="0096706E"/>
    <w:rsid w:val="00971600"/>
    <w:rsid w:val="00972CEB"/>
    <w:rsid w:val="00977928"/>
    <w:rsid w:val="00984A26"/>
    <w:rsid w:val="00985916"/>
    <w:rsid w:val="00992434"/>
    <w:rsid w:val="00992B54"/>
    <w:rsid w:val="00993047"/>
    <w:rsid w:val="009941A3"/>
    <w:rsid w:val="00995B6D"/>
    <w:rsid w:val="009973B4"/>
    <w:rsid w:val="00997F6E"/>
    <w:rsid w:val="009A42E5"/>
    <w:rsid w:val="009B1973"/>
    <w:rsid w:val="009C28C1"/>
    <w:rsid w:val="009D0EBD"/>
    <w:rsid w:val="009D2C81"/>
    <w:rsid w:val="009E10ED"/>
    <w:rsid w:val="009E21C1"/>
    <w:rsid w:val="009E40C4"/>
    <w:rsid w:val="009E4D01"/>
    <w:rsid w:val="009E5317"/>
    <w:rsid w:val="009E5DF1"/>
    <w:rsid w:val="009E6982"/>
    <w:rsid w:val="009F1519"/>
    <w:rsid w:val="009F1AF9"/>
    <w:rsid w:val="009F1CA7"/>
    <w:rsid w:val="009F1D2D"/>
    <w:rsid w:val="009F6343"/>
    <w:rsid w:val="009F68CA"/>
    <w:rsid w:val="009F73EE"/>
    <w:rsid w:val="009F7EED"/>
    <w:rsid w:val="00A040B8"/>
    <w:rsid w:val="00A04218"/>
    <w:rsid w:val="00A048A2"/>
    <w:rsid w:val="00A106A4"/>
    <w:rsid w:val="00A12A44"/>
    <w:rsid w:val="00A14097"/>
    <w:rsid w:val="00A14291"/>
    <w:rsid w:val="00A14938"/>
    <w:rsid w:val="00A21124"/>
    <w:rsid w:val="00A2262E"/>
    <w:rsid w:val="00A239DA"/>
    <w:rsid w:val="00A25CFE"/>
    <w:rsid w:val="00A30DF6"/>
    <w:rsid w:val="00A30E03"/>
    <w:rsid w:val="00A33D6F"/>
    <w:rsid w:val="00A41C8A"/>
    <w:rsid w:val="00A43028"/>
    <w:rsid w:val="00A447C6"/>
    <w:rsid w:val="00A45D9E"/>
    <w:rsid w:val="00A50FA2"/>
    <w:rsid w:val="00A512A3"/>
    <w:rsid w:val="00A5342F"/>
    <w:rsid w:val="00A61C46"/>
    <w:rsid w:val="00A6210C"/>
    <w:rsid w:val="00A678F4"/>
    <w:rsid w:val="00A70B17"/>
    <w:rsid w:val="00A75E28"/>
    <w:rsid w:val="00A7783C"/>
    <w:rsid w:val="00A80636"/>
    <w:rsid w:val="00A81097"/>
    <w:rsid w:val="00A81560"/>
    <w:rsid w:val="00A83CB4"/>
    <w:rsid w:val="00A94F96"/>
    <w:rsid w:val="00A96322"/>
    <w:rsid w:val="00AA4898"/>
    <w:rsid w:val="00AB1C3E"/>
    <w:rsid w:val="00AC685D"/>
    <w:rsid w:val="00AD424E"/>
    <w:rsid w:val="00AD581B"/>
    <w:rsid w:val="00AE11D9"/>
    <w:rsid w:val="00AE150E"/>
    <w:rsid w:val="00AE22D2"/>
    <w:rsid w:val="00AE490A"/>
    <w:rsid w:val="00AF0AAB"/>
    <w:rsid w:val="00AF5B3D"/>
    <w:rsid w:val="00AF6B00"/>
    <w:rsid w:val="00AF6EA5"/>
    <w:rsid w:val="00B039D1"/>
    <w:rsid w:val="00B06544"/>
    <w:rsid w:val="00B07ABF"/>
    <w:rsid w:val="00B07ECD"/>
    <w:rsid w:val="00B134A2"/>
    <w:rsid w:val="00B13582"/>
    <w:rsid w:val="00B16FE9"/>
    <w:rsid w:val="00B20444"/>
    <w:rsid w:val="00B21132"/>
    <w:rsid w:val="00B24B4D"/>
    <w:rsid w:val="00B25D5E"/>
    <w:rsid w:val="00B306CF"/>
    <w:rsid w:val="00B33278"/>
    <w:rsid w:val="00B340E5"/>
    <w:rsid w:val="00B3643B"/>
    <w:rsid w:val="00B36C72"/>
    <w:rsid w:val="00B44E2B"/>
    <w:rsid w:val="00B471B9"/>
    <w:rsid w:val="00B47E78"/>
    <w:rsid w:val="00B504A8"/>
    <w:rsid w:val="00B52670"/>
    <w:rsid w:val="00B63B5A"/>
    <w:rsid w:val="00B64629"/>
    <w:rsid w:val="00B705BC"/>
    <w:rsid w:val="00B718AA"/>
    <w:rsid w:val="00B73540"/>
    <w:rsid w:val="00B750E4"/>
    <w:rsid w:val="00B76A20"/>
    <w:rsid w:val="00B770CB"/>
    <w:rsid w:val="00B77922"/>
    <w:rsid w:val="00B802B1"/>
    <w:rsid w:val="00B821B3"/>
    <w:rsid w:val="00B82832"/>
    <w:rsid w:val="00B829CD"/>
    <w:rsid w:val="00B84C36"/>
    <w:rsid w:val="00B86650"/>
    <w:rsid w:val="00BB54B1"/>
    <w:rsid w:val="00BB5628"/>
    <w:rsid w:val="00BB5AE7"/>
    <w:rsid w:val="00BB60AE"/>
    <w:rsid w:val="00BC00E8"/>
    <w:rsid w:val="00BC1A29"/>
    <w:rsid w:val="00BC3F41"/>
    <w:rsid w:val="00BC4DE3"/>
    <w:rsid w:val="00BC6FF9"/>
    <w:rsid w:val="00BE01CA"/>
    <w:rsid w:val="00BE5D6E"/>
    <w:rsid w:val="00BE5E52"/>
    <w:rsid w:val="00BE63F9"/>
    <w:rsid w:val="00BF047C"/>
    <w:rsid w:val="00BF202C"/>
    <w:rsid w:val="00BF2519"/>
    <w:rsid w:val="00BF55C1"/>
    <w:rsid w:val="00BF597E"/>
    <w:rsid w:val="00BF76CD"/>
    <w:rsid w:val="00C01B85"/>
    <w:rsid w:val="00C0590C"/>
    <w:rsid w:val="00C069FA"/>
    <w:rsid w:val="00C13843"/>
    <w:rsid w:val="00C165D4"/>
    <w:rsid w:val="00C21D4B"/>
    <w:rsid w:val="00C247DF"/>
    <w:rsid w:val="00C30DF0"/>
    <w:rsid w:val="00C31F46"/>
    <w:rsid w:val="00C3776D"/>
    <w:rsid w:val="00C46201"/>
    <w:rsid w:val="00C46B3D"/>
    <w:rsid w:val="00C5049C"/>
    <w:rsid w:val="00C51A36"/>
    <w:rsid w:val="00C51F68"/>
    <w:rsid w:val="00C531E1"/>
    <w:rsid w:val="00C55228"/>
    <w:rsid w:val="00C55B81"/>
    <w:rsid w:val="00C57431"/>
    <w:rsid w:val="00C608B4"/>
    <w:rsid w:val="00C67F3E"/>
    <w:rsid w:val="00C7045F"/>
    <w:rsid w:val="00C711BC"/>
    <w:rsid w:val="00C7134F"/>
    <w:rsid w:val="00C71E3A"/>
    <w:rsid w:val="00C733EC"/>
    <w:rsid w:val="00C73798"/>
    <w:rsid w:val="00C742BA"/>
    <w:rsid w:val="00C77C09"/>
    <w:rsid w:val="00C85C5F"/>
    <w:rsid w:val="00C86655"/>
    <w:rsid w:val="00C915B8"/>
    <w:rsid w:val="00C925A3"/>
    <w:rsid w:val="00C9295A"/>
    <w:rsid w:val="00C96D69"/>
    <w:rsid w:val="00CA50CB"/>
    <w:rsid w:val="00CB07DD"/>
    <w:rsid w:val="00CB21D6"/>
    <w:rsid w:val="00CB6BF2"/>
    <w:rsid w:val="00CB753A"/>
    <w:rsid w:val="00CC7965"/>
    <w:rsid w:val="00CD2260"/>
    <w:rsid w:val="00CD3F50"/>
    <w:rsid w:val="00CD5F97"/>
    <w:rsid w:val="00CE0DEE"/>
    <w:rsid w:val="00CE315A"/>
    <w:rsid w:val="00CF2E95"/>
    <w:rsid w:val="00CF6097"/>
    <w:rsid w:val="00CF69FC"/>
    <w:rsid w:val="00CF6BB7"/>
    <w:rsid w:val="00CF7799"/>
    <w:rsid w:val="00D0416C"/>
    <w:rsid w:val="00D06819"/>
    <w:rsid w:val="00D06F59"/>
    <w:rsid w:val="00D13BEC"/>
    <w:rsid w:val="00D13FEA"/>
    <w:rsid w:val="00D20AA7"/>
    <w:rsid w:val="00D222C3"/>
    <w:rsid w:val="00D2351C"/>
    <w:rsid w:val="00D26434"/>
    <w:rsid w:val="00D26AB8"/>
    <w:rsid w:val="00D33F60"/>
    <w:rsid w:val="00D3544B"/>
    <w:rsid w:val="00D359E4"/>
    <w:rsid w:val="00D3683B"/>
    <w:rsid w:val="00D37862"/>
    <w:rsid w:val="00D37979"/>
    <w:rsid w:val="00D42FBD"/>
    <w:rsid w:val="00D43A1B"/>
    <w:rsid w:val="00D503EB"/>
    <w:rsid w:val="00D51302"/>
    <w:rsid w:val="00D57A07"/>
    <w:rsid w:val="00D57D46"/>
    <w:rsid w:val="00D60F82"/>
    <w:rsid w:val="00D61379"/>
    <w:rsid w:val="00D64E4B"/>
    <w:rsid w:val="00D67E26"/>
    <w:rsid w:val="00D7291B"/>
    <w:rsid w:val="00D83421"/>
    <w:rsid w:val="00D8388C"/>
    <w:rsid w:val="00D850AA"/>
    <w:rsid w:val="00D91918"/>
    <w:rsid w:val="00D93BFA"/>
    <w:rsid w:val="00D94084"/>
    <w:rsid w:val="00D97805"/>
    <w:rsid w:val="00DA198A"/>
    <w:rsid w:val="00DA35E9"/>
    <w:rsid w:val="00DA547C"/>
    <w:rsid w:val="00DB2443"/>
    <w:rsid w:val="00DB3E3F"/>
    <w:rsid w:val="00DB5622"/>
    <w:rsid w:val="00DB6C0D"/>
    <w:rsid w:val="00DC201E"/>
    <w:rsid w:val="00DC2056"/>
    <w:rsid w:val="00DC2993"/>
    <w:rsid w:val="00DC38BE"/>
    <w:rsid w:val="00DC5FCF"/>
    <w:rsid w:val="00DD09CD"/>
    <w:rsid w:val="00DD09D1"/>
    <w:rsid w:val="00DD2E18"/>
    <w:rsid w:val="00DD35E1"/>
    <w:rsid w:val="00DE2B8E"/>
    <w:rsid w:val="00DE321D"/>
    <w:rsid w:val="00DE6D81"/>
    <w:rsid w:val="00DF1543"/>
    <w:rsid w:val="00DF798B"/>
    <w:rsid w:val="00E00362"/>
    <w:rsid w:val="00E03C12"/>
    <w:rsid w:val="00E054C1"/>
    <w:rsid w:val="00E057F8"/>
    <w:rsid w:val="00E07027"/>
    <w:rsid w:val="00E13844"/>
    <w:rsid w:val="00E153C8"/>
    <w:rsid w:val="00E24147"/>
    <w:rsid w:val="00E26EF2"/>
    <w:rsid w:val="00E27414"/>
    <w:rsid w:val="00E30EB2"/>
    <w:rsid w:val="00E310AF"/>
    <w:rsid w:val="00E33A68"/>
    <w:rsid w:val="00E35D7E"/>
    <w:rsid w:val="00E4175B"/>
    <w:rsid w:val="00E421D2"/>
    <w:rsid w:val="00E434CF"/>
    <w:rsid w:val="00E453C3"/>
    <w:rsid w:val="00E50C61"/>
    <w:rsid w:val="00E54AA1"/>
    <w:rsid w:val="00E6224C"/>
    <w:rsid w:val="00E67D81"/>
    <w:rsid w:val="00E67F6B"/>
    <w:rsid w:val="00E73591"/>
    <w:rsid w:val="00E75E3C"/>
    <w:rsid w:val="00E8036C"/>
    <w:rsid w:val="00E829B5"/>
    <w:rsid w:val="00E90FE1"/>
    <w:rsid w:val="00E9127E"/>
    <w:rsid w:val="00E96B36"/>
    <w:rsid w:val="00E971DA"/>
    <w:rsid w:val="00E97A1F"/>
    <w:rsid w:val="00E97B40"/>
    <w:rsid w:val="00EA0A76"/>
    <w:rsid w:val="00EA2937"/>
    <w:rsid w:val="00EA40AA"/>
    <w:rsid w:val="00EA540A"/>
    <w:rsid w:val="00EA6FEB"/>
    <w:rsid w:val="00EB0164"/>
    <w:rsid w:val="00EB1EB8"/>
    <w:rsid w:val="00EB3BA4"/>
    <w:rsid w:val="00EB42B2"/>
    <w:rsid w:val="00EB4E3E"/>
    <w:rsid w:val="00EB7920"/>
    <w:rsid w:val="00EC08C4"/>
    <w:rsid w:val="00EC12D3"/>
    <w:rsid w:val="00EC2065"/>
    <w:rsid w:val="00EC4F54"/>
    <w:rsid w:val="00EC54CC"/>
    <w:rsid w:val="00EC6740"/>
    <w:rsid w:val="00ED0F62"/>
    <w:rsid w:val="00ED61A2"/>
    <w:rsid w:val="00ED72A9"/>
    <w:rsid w:val="00ED763A"/>
    <w:rsid w:val="00EE1CFD"/>
    <w:rsid w:val="00EE2282"/>
    <w:rsid w:val="00EE418A"/>
    <w:rsid w:val="00EE5950"/>
    <w:rsid w:val="00EF3FB8"/>
    <w:rsid w:val="00EF5760"/>
    <w:rsid w:val="00F00235"/>
    <w:rsid w:val="00F00BAC"/>
    <w:rsid w:val="00F041F2"/>
    <w:rsid w:val="00F04272"/>
    <w:rsid w:val="00F05042"/>
    <w:rsid w:val="00F100FA"/>
    <w:rsid w:val="00F1248C"/>
    <w:rsid w:val="00F20D0C"/>
    <w:rsid w:val="00F253E7"/>
    <w:rsid w:val="00F25D6F"/>
    <w:rsid w:val="00F27ABC"/>
    <w:rsid w:val="00F419CC"/>
    <w:rsid w:val="00F43AD3"/>
    <w:rsid w:val="00F45FEE"/>
    <w:rsid w:val="00F52CE0"/>
    <w:rsid w:val="00F52CEC"/>
    <w:rsid w:val="00F5462E"/>
    <w:rsid w:val="00F57872"/>
    <w:rsid w:val="00F60D1F"/>
    <w:rsid w:val="00F6272A"/>
    <w:rsid w:val="00F66C2F"/>
    <w:rsid w:val="00F7337B"/>
    <w:rsid w:val="00F73AB0"/>
    <w:rsid w:val="00F743BE"/>
    <w:rsid w:val="00F749EA"/>
    <w:rsid w:val="00F75B43"/>
    <w:rsid w:val="00F768C5"/>
    <w:rsid w:val="00F77DFF"/>
    <w:rsid w:val="00F77FA7"/>
    <w:rsid w:val="00F81AA1"/>
    <w:rsid w:val="00F81D47"/>
    <w:rsid w:val="00F83556"/>
    <w:rsid w:val="00F8360E"/>
    <w:rsid w:val="00F85AF1"/>
    <w:rsid w:val="00F875DC"/>
    <w:rsid w:val="00F933FF"/>
    <w:rsid w:val="00F97461"/>
    <w:rsid w:val="00FA55EC"/>
    <w:rsid w:val="00FA6B05"/>
    <w:rsid w:val="00FC0249"/>
    <w:rsid w:val="00FC19F2"/>
    <w:rsid w:val="00FC32FF"/>
    <w:rsid w:val="00FC3A47"/>
    <w:rsid w:val="00FC743C"/>
    <w:rsid w:val="00FD0A28"/>
    <w:rsid w:val="00FD1889"/>
    <w:rsid w:val="00FD37F2"/>
    <w:rsid w:val="00FD7D89"/>
    <w:rsid w:val="00FE0BCB"/>
    <w:rsid w:val="00FE475B"/>
    <w:rsid w:val="00FE4E16"/>
    <w:rsid w:val="00FE50AF"/>
    <w:rsid w:val="00FE5D46"/>
    <w:rsid w:val="00FF198D"/>
    <w:rsid w:val="00FF2F0C"/>
    <w:rsid w:val="00FF32ED"/>
    <w:rsid w:val="00FF3D9B"/>
    <w:rsid w:val="00FF5E73"/>
    <w:rsid w:val="00FF73A0"/>
    <w:rsid w:val="00FF762E"/>
    <w:rsid w:val="099F44BB"/>
    <w:rsid w:val="108219C2"/>
    <w:rsid w:val="19B84330"/>
    <w:rsid w:val="20BB5AD1"/>
    <w:rsid w:val="21F004E8"/>
    <w:rsid w:val="2B3A01A8"/>
    <w:rsid w:val="32E75049"/>
    <w:rsid w:val="3CEE74EB"/>
    <w:rsid w:val="5EA12B9A"/>
    <w:rsid w:val="697B60C0"/>
    <w:rsid w:val="6A0C3D41"/>
    <w:rsid w:val="7FE575B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6"/>
    <w:semiHidden/>
    <w:unhideWhenUsed/>
    <w:qFormat/>
    <w:uiPriority w:val="99"/>
    <w:pPr>
      <w:spacing w:after="120"/>
      <w:ind w:left="420" w:leftChars="200"/>
    </w:pPr>
  </w:style>
  <w:style w:type="paragraph" w:styleId="3">
    <w:name w:val="Plain Text"/>
    <w:basedOn w:val="1"/>
    <w:link w:val="19"/>
    <w:unhideWhenUsed/>
    <w:qFormat/>
    <w:uiPriority w:val="0"/>
    <w:rPr>
      <w:rFonts w:ascii="宋体" w:hAnsi="Courier New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 2"/>
    <w:basedOn w:val="2"/>
    <w:link w:val="17"/>
    <w:qFormat/>
    <w:uiPriority w:val="0"/>
    <w:pPr>
      <w:spacing w:after="0"/>
      <w:ind w:left="0" w:leftChars="0" w:firstLine="420" w:firstLineChars="200"/>
      <w:jc w:val="left"/>
    </w:pPr>
    <w:rPr>
      <w:rFonts w:ascii="宋体" w:hAnsi="宋体" w:eastAsia="仿宋_GB2312"/>
      <w:color w:val="000000"/>
      <w:sz w:val="28"/>
    </w:rPr>
  </w:style>
  <w:style w:type="character" w:styleId="11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customStyle="1" w:styleId="12">
    <w:name w:val="页眉 Char"/>
    <w:basedOn w:val="10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10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批注框文本 Char"/>
    <w:basedOn w:val="10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6">
    <w:name w:val="正文文本缩进 Char"/>
    <w:basedOn w:val="10"/>
    <w:link w:val="2"/>
    <w:semiHidden/>
    <w:qFormat/>
    <w:uiPriority w:val="99"/>
    <w:rPr>
      <w:rFonts w:ascii="Times New Roman" w:hAnsi="Times New Roman" w:eastAsia="宋体" w:cs="Times New Roman"/>
      <w:kern w:val="2"/>
      <w:sz w:val="21"/>
    </w:rPr>
  </w:style>
  <w:style w:type="character" w:customStyle="1" w:styleId="17">
    <w:name w:val="正文首行缩进 2 Char"/>
    <w:basedOn w:val="16"/>
    <w:link w:val="8"/>
    <w:qFormat/>
    <w:uiPriority w:val="0"/>
    <w:rPr>
      <w:rFonts w:ascii="宋体" w:hAnsi="宋体" w:eastAsia="仿宋_GB2312"/>
      <w:color w:val="000000"/>
      <w:sz w:val="28"/>
    </w:rPr>
  </w:style>
  <w:style w:type="paragraph" w:customStyle="1" w:styleId="18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19">
    <w:name w:val="纯文本 Char"/>
    <w:basedOn w:val="10"/>
    <w:link w:val="3"/>
    <w:qFormat/>
    <w:uiPriority w:val="0"/>
    <w:rPr>
      <w:rFonts w:ascii="宋体" w:hAnsi="Courier New" w:eastAsia="宋体" w:cs="Times New Roman"/>
      <w:kern w:val="2"/>
      <w:sz w:val="21"/>
    </w:rPr>
  </w:style>
  <w:style w:type="paragraph" w:styleId="2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77F081-7B5C-47A9-ABE2-0705544D769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30</Pages>
  <Words>3010</Words>
  <Characters>17161</Characters>
  <Lines>143</Lines>
  <Paragraphs>40</Paragraphs>
  <TotalTime>6</TotalTime>
  <ScaleCrop>false</ScaleCrop>
  <LinksUpToDate>false</LinksUpToDate>
  <CharactersWithSpaces>20131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Lenovo</cp:lastModifiedBy>
  <dcterms:modified xsi:type="dcterms:W3CDTF">2021-05-29T06:11:34Z</dcterms:modified>
  <cp:revision>841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67293E740A044B0789B7E5B8FB284852</vt:lpwstr>
  </property>
</Properties>
</file>