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襄阳匠筑砂浆有限公司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E：16.02.04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邱锋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原材料预处理：干燥、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破碎、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筛分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配料，计量称重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----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均匀混料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包装，散装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运输（至需方指定地点）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beforeLines="50" w:line="240" w:lineRule="auto"/>
              <w:ind w:firstLine="42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查到《重要环境因素清单》已识别重要环境因素包括：粉尘的排放、噪声的排放，明确的控制措施和责任部门，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提供《不可接受风险清单》有：职业病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高空坠落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触电、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机械伤害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，并制定有控制措施。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安全生产法、环境保护法、湖北省安全、环保、消防相关规定，GB/T25181-2019预拌砂浆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邱锋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2021.5.29</w:t>
      </w:r>
      <w:r>
        <w:rPr>
          <w:rFonts w:hint="eastAsia"/>
          <w:b/>
          <w:sz w:val="18"/>
          <w:szCs w:val="18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2021.5.29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pacing w:val="-6"/>
          <w:sz w:val="20"/>
        </w:rPr>
      </w:pPr>
      <w:bookmarkStart w:id="6" w:name="_GoBack"/>
      <w:bookmarkEnd w:id="6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2C7D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2021-07-05T07:36:10Z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333936F26A624DCF8C5C7CA9ED306402</vt:lpwstr>
  </property>
</Properties>
</file>