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综合部</w:t>
            </w:r>
            <w:r>
              <w:rPr>
                <w:rFonts w:hint="eastAsia"/>
                <w:sz w:val="24"/>
                <w:szCs w:val="24"/>
              </w:rPr>
              <w:t>、</w:t>
            </w:r>
            <w:r>
              <w:rPr>
                <w:rFonts w:hint="eastAsia"/>
                <w:sz w:val="24"/>
                <w:szCs w:val="24"/>
                <w:lang w:val="en-US" w:eastAsia="zh-CN"/>
              </w:rPr>
              <w:t>营销</w:t>
            </w:r>
            <w:r>
              <w:rPr>
                <w:rFonts w:hint="eastAsia"/>
                <w:sz w:val="24"/>
                <w:szCs w:val="24"/>
              </w:rPr>
              <w:t>部、生产</w:t>
            </w:r>
            <w:r>
              <w:rPr>
                <w:rFonts w:hint="eastAsia"/>
                <w:sz w:val="24"/>
                <w:szCs w:val="24"/>
                <w:lang w:val="en-US" w:eastAsia="zh-CN"/>
              </w:rPr>
              <w:t>技术</w:t>
            </w:r>
            <w:r>
              <w:rPr>
                <w:rFonts w:hint="eastAsia"/>
                <w:sz w:val="24"/>
                <w:szCs w:val="24"/>
              </w:rPr>
              <w:t>部、</w:t>
            </w:r>
            <w:r>
              <w:rPr>
                <w:rFonts w:hint="eastAsia"/>
                <w:sz w:val="24"/>
                <w:szCs w:val="24"/>
                <w:lang w:val="en-US" w:eastAsia="zh-CN"/>
              </w:rPr>
              <w:t>实验</w:t>
            </w:r>
            <w:r>
              <w:rPr>
                <w:rFonts w:hint="eastAsia"/>
                <w:sz w:val="24"/>
                <w:szCs w:val="24"/>
              </w:rPr>
              <w:t>室、</w:t>
            </w:r>
            <w:r>
              <w:rPr>
                <w:rFonts w:hint="eastAsia"/>
                <w:sz w:val="24"/>
                <w:szCs w:val="24"/>
                <w:lang w:val="en-US" w:eastAsia="zh-CN"/>
              </w:rPr>
              <w:t>财务</w:t>
            </w:r>
            <w:r>
              <w:rPr>
                <w:rFonts w:hint="eastAsia"/>
                <w:sz w:val="24"/>
                <w:szCs w:val="24"/>
              </w:rPr>
              <w:t>部，陪同：</w:t>
            </w:r>
            <w:r>
              <w:rPr>
                <w:rFonts w:hint="eastAsia"/>
                <w:sz w:val="24"/>
                <w:szCs w:val="24"/>
                <w:lang w:val="en-US" w:eastAsia="zh-CN"/>
              </w:rPr>
              <w:t>辛文</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val="en-US" w:eastAsia="zh-CN"/>
              </w:rPr>
              <w:t>李凤仪、邱锋</w:t>
            </w:r>
            <w:r>
              <w:rPr>
                <w:sz w:val="24"/>
                <w:szCs w:val="24"/>
              </w:rPr>
              <w:t xml:space="preserve">      </w:t>
            </w:r>
            <w:r>
              <w:rPr>
                <w:rFonts w:hint="eastAsia"/>
                <w:sz w:val="24"/>
                <w:szCs w:val="24"/>
              </w:rPr>
              <w:t>审核时间：</w:t>
            </w:r>
            <w:r>
              <w:rPr>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27</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rPr>
              <w:t>认证范围产品用途、顾客群等</w:t>
            </w: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w:t>
            </w:r>
            <w:r>
              <w:rPr>
                <w:szCs w:val="21"/>
              </w:rPr>
              <w:t>EMS</w:t>
            </w:r>
            <w:r>
              <w:rPr>
                <w:rFonts w:hint="eastAsia"/>
                <w:szCs w:val="21"/>
              </w:rPr>
              <w:t>）顾客及相关方投诉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方针、目标、指标和方案情况</w:t>
            </w:r>
          </w:p>
          <w:p/>
          <w:p/>
          <w:p/>
          <w:p/>
          <w:p/>
          <w:p/>
          <w:p/>
          <w:p/>
          <w:p/>
          <w:p/>
          <w:p/>
          <w:p>
            <w:pPr>
              <w:spacing w:line="400" w:lineRule="exact"/>
              <w:rPr>
                <w:szCs w:val="21"/>
              </w:rPr>
            </w:pPr>
            <w:r>
              <w:rPr>
                <w:rFonts w:hint="eastAsia"/>
                <w:szCs w:val="21"/>
              </w:rPr>
              <w:t>合规性评价报告</w:t>
            </w:r>
            <w:r>
              <w:rPr>
                <w:szCs w:val="21"/>
              </w:rPr>
              <w:t xml:space="preserve"> </w:t>
            </w:r>
          </w:p>
          <w:p>
            <w:pPr>
              <w:spacing w:line="400" w:lineRule="exact"/>
              <w:rPr>
                <w:szCs w:val="21"/>
              </w:rPr>
            </w:pPr>
          </w:p>
          <w:p>
            <w:pPr>
              <w:spacing w:line="400" w:lineRule="exact"/>
              <w:rPr>
                <w:szCs w:val="21"/>
              </w:rPr>
            </w:pPr>
            <w:r>
              <w:rPr>
                <w:rFonts w:hint="eastAsia"/>
                <w:szCs w:val="21"/>
              </w:rPr>
              <w:t>重要环境因素（</w:t>
            </w:r>
            <w:r>
              <w:rPr>
                <w:szCs w:val="21"/>
              </w:rPr>
              <w:t>EMS</w:t>
            </w:r>
            <w:r>
              <w:rPr>
                <w:rFonts w:hint="eastAsia"/>
                <w:szCs w:val="21"/>
              </w:rPr>
              <w:t>）</w:t>
            </w: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p>
          <w:p>
            <w:pPr>
              <w:pStyle w:val="14"/>
              <w:rPr>
                <w:szCs w:val="21"/>
              </w:rPr>
            </w:pPr>
          </w:p>
          <w:p>
            <w:pPr>
              <w:spacing w:line="400" w:lineRule="exact"/>
              <w:rPr>
                <w:szCs w:val="21"/>
              </w:rPr>
            </w:pPr>
            <w:r>
              <w:rPr>
                <w:rFonts w:hint="eastAsia"/>
                <w:szCs w:val="21"/>
              </w:rPr>
              <w:t>内审情况</w:t>
            </w:r>
          </w:p>
          <w:p>
            <w:pPr>
              <w:spacing w:line="400" w:lineRule="exact"/>
              <w:rPr>
                <w:szCs w:val="21"/>
              </w:rPr>
            </w:pPr>
            <w:r>
              <w:rPr>
                <w:rFonts w:hint="eastAsia"/>
                <w:szCs w:val="21"/>
              </w:rPr>
              <w:t>管理评审</w:t>
            </w:r>
          </w:p>
          <w:p>
            <w:pPr>
              <w:spacing w:line="400" w:lineRule="exact"/>
              <w:rPr>
                <w:rFonts w:hint="eastAsia"/>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环保</w:t>
            </w:r>
            <w:r>
              <w:rPr>
                <w:szCs w:val="21"/>
              </w:rPr>
              <w:t>\</w:t>
            </w:r>
            <w:r>
              <w:rPr>
                <w:rFonts w:hint="eastAsia"/>
                <w:szCs w:val="21"/>
              </w:rPr>
              <w:t>安全监测设备（</w:t>
            </w:r>
            <w:r>
              <w:rPr>
                <w:szCs w:val="21"/>
              </w:rPr>
              <w:t>EMS</w:t>
            </w:r>
            <w:r>
              <w:rPr>
                <w:rFonts w:hint="eastAsia"/>
                <w:szCs w:val="21"/>
              </w:rPr>
              <w:t>、</w:t>
            </w:r>
            <w:r>
              <w:rPr>
                <w:szCs w:val="21"/>
              </w:rPr>
              <w:t>OHS</w:t>
            </w:r>
            <w:r>
              <w:rPr>
                <w:rFonts w:hint="eastAsia"/>
                <w:szCs w:val="21"/>
              </w:rPr>
              <w:t>）</w:t>
            </w:r>
          </w:p>
          <w:p/>
          <w:p>
            <w:pPr>
              <w:spacing w:line="400" w:lineRule="exact"/>
              <w:rPr>
                <w:szCs w:val="21"/>
              </w:rPr>
            </w:pPr>
            <w:r>
              <w:rPr>
                <w:rFonts w:hint="eastAsia"/>
                <w:szCs w:val="21"/>
              </w:rPr>
              <w:t>现场</w:t>
            </w:r>
          </w:p>
          <w:p/>
        </w:tc>
        <w:tc>
          <w:tcPr>
            <w:tcW w:w="960" w:type="dxa"/>
          </w:tcPr>
          <w:p/>
        </w:tc>
        <w:tc>
          <w:tcPr>
            <w:tcW w:w="10596" w:type="dxa"/>
          </w:tcPr>
          <w:p>
            <w:pPr>
              <w:spacing w:line="240" w:lineRule="auto"/>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匠心制造，筑就美好！襄阳匠筑砂浆有限公司</w:t>
            </w:r>
            <w:r>
              <w:rPr>
                <w:rFonts w:hint="eastAsia" w:asciiTheme="majorEastAsia" w:hAnsiTheme="majorEastAsia" w:eastAsiaTheme="majorEastAsia" w:cstheme="majorEastAsia"/>
                <w:sz w:val="21"/>
                <w:szCs w:val="21"/>
                <w:lang w:val="en-US" w:eastAsia="zh-CN"/>
              </w:rPr>
              <w:t>成立于2019年12月9日，</w:t>
            </w:r>
            <w:r>
              <w:rPr>
                <w:rFonts w:hint="eastAsia" w:asciiTheme="majorEastAsia" w:hAnsiTheme="majorEastAsia" w:eastAsiaTheme="majorEastAsia" w:cstheme="majorEastAsia"/>
                <w:sz w:val="21"/>
                <w:szCs w:val="21"/>
              </w:rPr>
              <w:t>是一家专业生产、销售干混砂浆的企业，坐落于襄阳市襄州区古驿镇襄新路。</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配有国内先进的干混砂浆生产线，年生产能力60万吨，主要产品有：加气块专业砌筑砂浆、砌筑砂浆、抹灰砂浆、地面砂浆、修补砂浆、通用型瓷砖粘接剂、强力型瓷砖粘接剂、轻质石膏砂浆等，应用于内外墙饰面工程及墙体砌筑施工。生产线利用先进的自动化中央控制管理系统、质量控制系统，确保产品生产“健康、安全、环保、节能”。</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竭诚为广大客户提供一流的产品和服务。公司拥有高素质技术人才，专业的砂浆试验室，可提供技术资料、配方设计、性能测试、施工指导等全方位服务；先进的设备、配置充足的物流运输车辆，都将为客户放心使用我们的产品提供有力保障。</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我们的宗旨是：以优良的品质赢得市场，以优质的服务让客户满意，致力于打造襄阳砂浆市场领导品牌！</w:t>
            </w:r>
          </w:p>
          <w:p>
            <w:pPr>
              <w:ind w:firstLine="420" w:firstLineChars="200"/>
              <w:rPr>
                <w:rFonts w:hint="default" w:ascii="宋体" w:hAnsi="宋体" w:eastAsia="宋体" w:cs="宋体"/>
                <w:sz w:val="24"/>
                <w:szCs w:val="24"/>
                <w:lang w:val="en-US" w:eastAsia="zh-CN"/>
              </w:rPr>
            </w:pPr>
            <w:r>
              <w:rPr>
                <w:rFonts w:hint="eastAsia" w:ascii="宋体" w:hAnsi="宋体" w:cs="宋体"/>
                <w:sz w:val="21"/>
                <w:szCs w:val="21"/>
                <w:lang w:val="en-US" w:eastAsia="zh-CN"/>
              </w:rPr>
              <w:t>企业现有人数为23人。</w:t>
            </w:r>
          </w:p>
          <w:p>
            <w:pPr>
              <w:rPr>
                <w:rFonts w:ascii="宋体"/>
                <w:b/>
                <w:bCs/>
                <w:color w:val="000000"/>
                <w:szCs w:val="21"/>
              </w:rPr>
            </w:pPr>
            <w:r>
              <w:rPr>
                <w:rFonts w:hint="eastAsia" w:ascii="宋体" w:hAnsi="宋体"/>
                <w:bCs/>
                <w:szCs w:val="21"/>
              </w:rPr>
              <w:t>现场确认范围</w:t>
            </w:r>
          </w:p>
          <w:p>
            <w:bookmarkStart w:id="0" w:name="审核范围"/>
            <w:r>
              <w:t>E：干混砂浆的生产及销售所涉及场所的相关环境管理活动</w:t>
            </w:r>
          </w:p>
          <w:p>
            <w:r>
              <w:t>O：</w:t>
            </w:r>
            <w:bookmarkEnd w:id="0"/>
            <w:r>
              <w:t>干混砂浆的生产及销售所涉及场所的相关职业健康安全管理活动</w:t>
            </w:r>
          </w:p>
          <w:p>
            <w:pPr>
              <w:rPr>
                <w:rFonts w:hint="eastAsia" w:ascii="宋体" w:hAnsi="宋体"/>
                <w:b w:val="0"/>
                <w:bCs/>
                <w:szCs w:val="21"/>
                <w:lang w:val="en-US" w:eastAsia="zh-CN"/>
              </w:rPr>
            </w:pPr>
            <w:r>
              <w:rPr>
                <w:rFonts w:hint="eastAsia" w:ascii="宋体" w:hAnsi="宋体"/>
                <w:b w:val="0"/>
                <w:bCs/>
                <w:szCs w:val="21"/>
                <w:lang w:val="en-US" w:eastAsia="zh-CN"/>
              </w:rPr>
              <w:t>企业按顾客要求提供产品，</w:t>
            </w:r>
            <w:r>
              <w:rPr>
                <w:rFonts w:hint="eastAsia" w:ascii="宋体" w:hAnsi="宋体"/>
                <w:b w:val="0"/>
                <w:bCs/>
                <w:szCs w:val="21"/>
              </w:rPr>
              <w:t>不适用条款：</w:t>
            </w:r>
            <w:r>
              <w:rPr>
                <w:rFonts w:ascii="宋体" w:hAnsi="宋体"/>
                <w:b w:val="0"/>
                <w:bCs/>
                <w:szCs w:val="21"/>
              </w:rPr>
              <w:t>Q 8.3</w:t>
            </w:r>
            <w:r>
              <w:rPr>
                <w:rFonts w:hint="eastAsia" w:ascii="宋体" w:hAnsi="宋体"/>
                <w:b w:val="0"/>
                <w:bCs/>
                <w:szCs w:val="21"/>
                <w:lang w:eastAsia="zh-CN"/>
              </w:rPr>
              <w:t>，</w:t>
            </w:r>
            <w:r>
              <w:rPr>
                <w:rFonts w:hint="eastAsia" w:ascii="宋体" w:hAnsi="宋体"/>
                <w:b w:val="0"/>
                <w:bCs/>
                <w:szCs w:val="21"/>
                <w:lang w:val="en-US" w:eastAsia="zh-CN"/>
              </w:rPr>
              <w:t>且不影响满足顾客要求和法律法规要求的执行或责任。</w:t>
            </w:r>
          </w:p>
          <w:p>
            <w:pPr>
              <w:rPr>
                <w:rFonts w:hint="default" w:ascii="宋体" w:hAnsi="宋体" w:eastAsia="宋体"/>
                <w:b w:val="0"/>
                <w:bCs/>
                <w:szCs w:val="21"/>
                <w:lang w:val="en-US" w:eastAsia="zh-CN"/>
              </w:rPr>
            </w:pPr>
            <w:r>
              <w:rPr>
                <w:rFonts w:hint="eastAsia" w:ascii="宋体" w:hAnsi="宋体"/>
                <w:b w:val="0"/>
                <w:bCs/>
                <w:szCs w:val="21"/>
                <w:lang w:val="en-US" w:eastAsia="zh-CN"/>
              </w:rPr>
              <w:t>经识别：运输过程为外包</w:t>
            </w:r>
            <w:r>
              <w:rPr>
                <w:rFonts w:hint="eastAsia"/>
                <w:szCs w:val="21"/>
                <w:lang w:val="en-US" w:eastAsia="zh-CN"/>
              </w:rPr>
              <w:t>过程。</w:t>
            </w:r>
          </w:p>
          <w:p>
            <w:pPr>
              <w:rPr>
                <w:rFonts w:ascii="宋体"/>
                <w:bCs/>
                <w:szCs w:val="21"/>
              </w:rPr>
            </w:pPr>
            <w:r>
              <w:rPr>
                <w:rFonts w:hint="eastAsia" w:ascii="宋体" w:hAnsi="宋体"/>
                <w:bCs/>
                <w:szCs w:val="21"/>
              </w:rPr>
              <w:t>质量环境职业健康安全管理体系于</w:t>
            </w:r>
            <w:r>
              <w:rPr>
                <w:rFonts w:ascii="宋体" w:hAnsi="宋体"/>
                <w:szCs w:val="21"/>
              </w:rPr>
              <w:t>20</w:t>
            </w:r>
            <w:r>
              <w:rPr>
                <w:rFonts w:hint="eastAsia" w:ascii="宋体" w:hAnsi="宋体"/>
                <w:szCs w:val="21"/>
                <w:lang w:val="en-US" w:eastAsia="zh-CN"/>
              </w:rPr>
              <w:t>20</w:t>
            </w:r>
            <w:r>
              <w:rPr>
                <w:rFonts w:asci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6</w:t>
            </w:r>
            <w:r>
              <w:rPr>
                <w:rFonts w:hint="eastAsia" w:ascii="宋体" w:hAnsi="宋体"/>
                <w:szCs w:val="21"/>
              </w:rPr>
              <w:t>建立并正式实施。</w:t>
            </w:r>
          </w:p>
          <w:p>
            <w:pPr>
              <w:spacing w:line="360" w:lineRule="auto"/>
              <w:rPr>
                <w:szCs w:val="21"/>
              </w:rPr>
            </w:pPr>
            <w:r>
              <w:rPr>
                <w:rFonts w:hint="eastAsia"/>
                <w:szCs w:val="21"/>
              </w:rPr>
              <w:t>组织机构：</w:t>
            </w:r>
            <w:r>
              <w:rPr>
                <w:rFonts w:hint="eastAsia"/>
                <w:sz w:val="21"/>
                <w:szCs w:val="21"/>
              </w:rPr>
              <w:t>管理层、</w:t>
            </w:r>
            <w:r>
              <w:rPr>
                <w:rFonts w:hint="eastAsia"/>
                <w:sz w:val="21"/>
                <w:szCs w:val="21"/>
                <w:lang w:val="en-US" w:eastAsia="zh-CN"/>
              </w:rPr>
              <w:t>综合部</w:t>
            </w:r>
            <w:r>
              <w:rPr>
                <w:rFonts w:hint="eastAsia"/>
                <w:sz w:val="21"/>
                <w:szCs w:val="21"/>
              </w:rPr>
              <w:t>、</w:t>
            </w:r>
            <w:r>
              <w:rPr>
                <w:rFonts w:hint="eastAsia"/>
                <w:sz w:val="21"/>
                <w:szCs w:val="21"/>
                <w:lang w:val="en-US" w:eastAsia="zh-CN"/>
              </w:rPr>
              <w:t>营销</w:t>
            </w:r>
            <w:r>
              <w:rPr>
                <w:rFonts w:hint="eastAsia"/>
                <w:sz w:val="21"/>
                <w:szCs w:val="21"/>
              </w:rPr>
              <w:t>部、生产</w:t>
            </w:r>
            <w:r>
              <w:rPr>
                <w:rFonts w:hint="eastAsia"/>
                <w:sz w:val="21"/>
                <w:szCs w:val="21"/>
                <w:lang w:val="en-US" w:eastAsia="zh-CN"/>
              </w:rPr>
              <w:t>技术</w:t>
            </w:r>
            <w:r>
              <w:rPr>
                <w:rFonts w:hint="eastAsia"/>
                <w:sz w:val="21"/>
                <w:szCs w:val="21"/>
              </w:rPr>
              <w:t>部、</w:t>
            </w:r>
            <w:r>
              <w:rPr>
                <w:rFonts w:hint="eastAsia"/>
                <w:sz w:val="21"/>
                <w:szCs w:val="21"/>
                <w:lang w:val="en-US" w:eastAsia="zh-CN"/>
              </w:rPr>
              <w:t>实验</w:t>
            </w:r>
            <w:r>
              <w:rPr>
                <w:rFonts w:hint="eastAsia"/>
                <w:sz w:val="21"/>
                <w:szCs w:val="21"/>
              </w:rPr>
              <w:t>室、</w:t>
            </w:r>
            <w:r>
              <w:rPr>
                <w:rFonts w:hint="eastAsia"/>
                <w:sz w:val="21"/>
                <w:szCs w:val="21"/>
                <w:lang w:val="en-US" w:eastAsia="zh-CN"/>
              </w:rPr>
              <w:t>财务</w:t>
            </w:r>
            <w:r>
              <w:rPr>
                <w:rFonts w:hint="eastAsia"/>
                <w:sz w:val="21"/>
                <w:szCs w:val="21"/>
              </w:rPr>
              <w:t>部，</w:t>
            </w:r>
          </w:p>
          <w:p>
            <w:pPr>
              <w:rPr>
                <w:rFonts w:hint="eastAsia"/>
                <w:szCs w:val="20"/>
              </w:rPr>
            </w:pPr>
            <w:r>
              <w:rPr>
                <w:rFonts w:hint="eastAsia"/>
                <w:kern w:val="2"/>
                <w:szCs w:val="21"/>
              </w:rPr>
              <w:t>实现流程为：</w:t>
            </w:r>
            <w:r>
              <w:rPr>
                <w:sz w:val="24"/>
              </w:rPr>
              <w:t xml:space="preserve">  </w:t>
            </w:r>
          </w:p>
          <w:tbl>
            <w:tblPr>
              <w:tblStyle w:val="5"/>
              <w:tblpPr w:leftFromText="180" w:rightFromText="180" w:vertAnchor="text" w:horzAnchor="page" w:tblpX="33"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95" w:type="dxa"/>
                  <w:noWrap w:val="0"/>
                  <w:vAlign w:val="top"/>
                </w:tcPr>
                <w:p>
                  <w:pPr>
                    <w:jc w:val="left"/>
                    <w:rPr>
                      <w:sz w:val="18"/>
                      <w:szCs w:val="20"/>
                    </w:rPr>
                  </w:pPr>
                  <w:r>
                    <w:rPr>
                      <w:szCs w:val="20"/>
                    </w:rPr>
                    <w:pict>
                      <v:line id="_x0000_s1047" o:spid="_x0000_s1047" o:spt="20" style="position:absolute;left:0pt;margin-left:80.75pt;margin-top:16.5pt;height:0.05pt;width:24.8pt;z-index:251662336;mso-width-relative:page;mso-height-relative:page;" filled="f" stroked="t" coordsize="21600,21600">
                        <v:path arrowok="t"/>
                        <v:fill on="f" focussize="0,0"/>
                        <v:stroke endarrow="block"/>
                        <v:imagedata o:title=""/>
                        <o:lock v:ext="edit" aspectratio="f"/>
                      </v:line>
                    </w:pict>
                  </w:r>
                  <w:r>
                    <w:rPr>
                      <w:rFonts w:hint="eastAsia"/>
                      <w:sz w:val="18"/>
                      <w:szCs w:val="20"/>
                    </w:rPr>
                    <w:t>原材料预处理：干燥、</w:t>
                  </w:r>
                  <w:r>
                    <w:rPr>
                      <w:rFonts w:hint="eastAsia"/>
                      <w:sz w:val="18"/>
                      <w:szCs w:val="20"/>
                      <w:lang w:val="en-US" w:eastAsia="zh-CN"/>
                    </w:rPr>
                    <w:t>破碎、</w:t>
                  </w:r>
                  <w:r>
                    <w:rPr>
                      <w:rFonts w:hint="eastAsia"/>
                      <w:sz w:val="18"/>
                      <w:szCs w:val="20"/>
                    </w:rPr>
                    <w:t>筛分</w:t>
                  </w:r>
                </w:p>
              </w:tc>
            </w:tr>
          </w:tbl>
          <w:tbl>
            <w:tblPr>
              <w:tblStyle w:val="5"/>
              <w:tblpPr w:leftFromText="180" w:rightFromText="180" w:vertAnchor="text" w:horzAnchor="page" w:tblpX="2183"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95" w:type="dxa"/>
                  <w:noWrap w:val="0"/>
                  <w:vAlign w:val="top"/>
                </w:tcPr>
                <w:p>
                  <w:pPr>
                    <w:jc w:val="left"/>
                    <w:rPr>
                      <w:sz w:val="18"/>
                      <w:szCs w:val="20"/>
                    </w:rPr>
                  </w:pPr>
                  <w:r>
                    <w:rPr>
                      <w:szCs w:val="20"/>
                    </w:rPr>
                    <w:pict>
                      <v:line id="直线 196" o:spid="_x0000_s1041" o:spt="20" style="position:absolute;left:0pt;margin-left:80.75pt;margin-top:17pt;height:0.05pt;width:24.8pt;z-index:251661312;mso-width-relative:page;mso-height-relative:page;" filled="f" stroked="t" coordsize="21600,21600">
                        <v:path arrowok="t"/>
                        <v:fill on="f" focussize="0,0"/>
                        <v:stroke endarrow="block"/>
                        <v:imagedata o:title=""/>
                        <o:lock v:ext="edit" aspectratio="f"/>
                      </v:line>
                    </w:pict>
                  </w:r>
                  <w:r>
                    <w:rPr>
                      <w:rFonts w:hint="eastAsia"/>
                      <w:sz w:val="18"/>
                      <w:szCs w:val="20"/>
                    </w:rPr>
                    <w:t>配料，计量称重</w:t>
                  </w:r>
                </w:p>
              </w:tc>
            </w:tr>
          </w:tbl>
          <w:tbl>
            <w:tblPr>
              <w:tblStyle w:val="5"/>
              <w:tblpPr w:leftFromText="180" w:rightFromText="180" w:vertAnchor="text" w:horzAnchor="page" w:tblpX="4423"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20" w:type="dxa"/>
                  <w:noWrap w:val="0"/>
                  <w:vAlign w:val="top"/>
                </w:tcPr>
                <w:p>
                  <w:pPr>
                    <w:jc w:val="left"/>
                    <w:rPr>
                      <w:rFonts w:hint="eastAsia"/>
                      <w:sz w:val="18"/>
                      <w:szCs w:val="20"/>
                    </w:rPr>
                  </w:pPr>
                  <w:r>
                    <w:rPr>
                      <w:sz w:val="18"/>
                      <w:szCs w:val="18"/>
                    </w:rPr>
                    <w:pict>
                      <v:line id="_x0000_s1049" o:spid="_x0000_s1049" o:spt="20" style="position:absolute;left:0pt;margin-left:65.75pt;margin-top:9.5pt;height:0.05pt;width:24.8pt;z-index:251663360;mso-width-relative:page;mso-height-relative:page;" filled="f" stroked="t" coordsize="21600,21600">
                        <v:path arrowok="t"/>
                        <v:fill on="f" focussize="0,0"/>
                        <v:stroke endarrow="block"/>
                        <v:imagedata o:title=""/>
                        <o:lock v:ext="edit" aspectratio="f"/>
                      </v:line>
                    </w:pict>
                  </w:r>
                  <w:r>
                    <w:rPr>
                      <w:rFonts w:hint="eastAsia"/>
                      <w:sz w:val="18"/>
                      <w:szCs w:val="18"/>
                    </w:rPr>
                    <w:t>均匀混料</w:t>
                  </w:r>
                </w:p>
              </w:tc>
            </w:tr>
          </w:tbl>
          <w:tbl>
            <w:tblPr>
              <w:tblStyle w:val="5"/>
              <w:tblpPr w:leftFromText="180" w:rightFromText="180" w:vertAnchor="text" w:horzAnchor="page" w:tblpX="6373"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1695" w:type="dxa"/>
                  <w:noWrap w:val="0"/>
                  <w:vAlign w:val="top"/>
                </w:tcPr>
                <w:p>
                  <w:pPr>
                    <w:jc w:val="left"/>
                    <w:rPr>
                      <w:sz w:val="18"/>
                      <w:szCs w:val="20"/>
                    </w:rPr>
                  </w:pPr>
                  <w:r>
                    <w:rPr>
                      <w:rFonts w:hint="eastAsia"/>
                      <w:szCs w:val="20"/>
                    </w:rPr>
                    <w:t>包装，散装</w:t>
                  </w:r>
                </w:p>
              </w:tc>
            </w:tr>
          </w:tbl>
          <w:p>
            <w:pPr>
              <w:rPr>
                <w:rFonts w:hint="eastAsia"/>
                <w:szCs w:val="20"/>
              </w:rPr>
            </w:pPr>
          </w:p>
          <w:tbl>
            <w:tblPr>
              <w:tblStyle w:val="5"/>
              <w:tblpPr w:leftFromText="180" w:rightFromText="180" w:vertAnchor="text" w:horzAnchor="page" w:tblpX="8353"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880" w:type="dxa"/>
                  <w:noWrap w:val="0"/>
                  <w:vAlign w:val="top"/>
                </w:tcPr>
                <w:p>
                  <w:pPr>
                    <w:tabs>
                      <w:tab w:val="left" w:pos="358"/>
                    </w:tabs>
                    <w:jc w:val="left"/>
                    <w:rPr>
                      <w:rFonts w:hint="eastAsia"/>
                      <w:szCs w:val="20"/>
                    </w:rPr>
                  </w:pPr>
                  <w:r>
                    <w:rPr>
                      <w:rFonts w:hint="default" w:ascii="Arial" w:hAnsi="Arial" w:cs="Arial"/>
                      <w:sz w:val="28"/>
                      <w:szCs w:val="20"/>
                    </w:rPr>
                    <w:t>→</w:t>
                  </w:r>
                  <w:r>
                    <w:rPr>
                      <w:rFonts w:hint="eastAsia"/>
                      <w:szCs w:val="20"/>
                    </w:rPr>
                    <w:t>运输（至需方指定地点）</w:t>
                  </w:r>
                </w:p>
              </w:tc>
            </w:tr>
          </w:tbl>
          <w:p>
            <w:pPr>
              <w:rPr>
                <w:rFonts w:hint="eastAsia"/>
                <w:szCs w:val="20"/>
              </w:rPr>
            </w:pPr>
          </w:p>
          <w:p>
            <w:pPr>
              <w:pStyle w:val="4"/>
              <w:pBdr>
                <w:bottom w:val="none" w:color="auto" w:sz="0" w:space="0"/>
              </w:pBdr>
              <w:tabs>
                <w:tab w:val="center" w:pos="5737"/>
                <w:tab w:val="clear" w:pos="4153"/>
              </w:tabs>
              <w:jc w:val="left"/>
              <w:rPr>
                <w:kern w:val="2"/>
                <w:sz w:val="21"/>
                <w:szCs w:val="21"/>
              </w:rPr>
            </w:pPr>
          </w:p>
          <w:p>
            <w:pPr>
              <w:pStyle w:val="4"/>
              <w:pBdr>
                <w:bottom w:val="none" w:color="auto" w:sz="0" w:space="0"/>
              </w:pBdr>
              <w:tabs>
                <w:tab w:val="center" w:pos="5737"/>
                <w:tab w:val="clear" w:pos="4153"/>
              </w:tabs>
              <w:jc w:val="left"/>
              <w:rPr>
                <w:kern w:val="2"/>
                <w:sz w:val="21"/>
                <w:szCs w:val="21"/>
              </w:rPr>
            </w:pPr>
            <w:r>
              <w:rPr>
                <w:rFonts w:hint="eastAsia"/>
                <w:kern w:val="2"/>
                <w:sz w:val="21"/>
                <w:szCs w:val="21"/>
              </w:rPr>
              <w:t>提供了法律、法规和其他要求清单</w:t>
            </w:r>
          </w:p>
          <w:p>
            <w:pPr>
              <w:rPr>
                <w:rFonts w:ascii="宋体" w:cs="宋体"/>
                <w:kern w:val="0"/>
                <w:szCs w:val="21"/>
              </w:rPr>
            </w:pPr>
            <w:r>
              <w:rPr>
                <w:rFonts w:hint="eastAsia" w:ascii="宋体" w:hAnsi="宋体" w:cs="宋体"/>
                <w:color w:val="000000"/>
                <w:kern w:val="0"/>
                <w:szCs w:val="21"/>
              </w:rPr>
              <w:t>提</w:t>
            </w:r>
            <w:r>
              <w:rPr>
                <w:rFonts w:hint="eastAsia" w:ascii="宋体" w:hAnsi="宋体" w:cs="宋体"/>
                <w:kern w:val="0"/>
                <w:szCs w:val="21"/>
              </w:rPr>
              <w:t>供《适用的法律法规清单》、提供了《外来文件情况清单》</w:t>
            </w:r>
          </w:p>
          <w:p>
            <w:pPr>
              <w:pStyle w:val="14"/>
            </w:pPr>
            <w:r>
              <w:rPr>
                <w:rFonts w:hint="eastAsia" w:ascii="宋体" w:hAnsi="宋体" w:cs="宋体"/>
                <w:kern w:val="0"/>
                <w:szCs w:val="21"/>
              </w:rPr>
              <w:t>“外来文件清单”提供了与</w:t>
            </w:r>
            <w:r>
              <w:t>混凝土</w:t>
            </w:r>
            <w:r>
              <w:rPr>
                <w:rFonts w:hint="eastAsia" w:ascii="宋体" w:hAnsi="宋体" w:cs="宋体"/>
                <w:kern w:val="0"/>
                <w:szCs w:val="21"/>
              </w:rPr>
              <w:t>产品相关的法律法规</w:t>
            </w:r>
          </w:p>
          <w:p>
            <w:pPr>
              <w:rPr>
                <w:rFonts w:hint="default"/>
                <w:szCs w:val="21"/>
                <w:lang w:val="en-US" w:eastAsia="zh-CN"/>
              </w:rPr>
            </w:pPr>
            <w:r>
              <w:rPr>
                <w:rFonts w:hint="eastAsia"/>
                <w:szCs w:val="21"/>
                <w:lang w:val="en-US" w:eastAsia="zh-CN"/>
              </w:rPr>
              <w:t>提供2012.12.18月襄阳坤隆建材科技有限公司年产十万吨干粉保温材料生产项目环境影响报告表、2012年12月25日襄阳襄州区环境保护局襄区环(2012)110号《关于襄阳坤隆建材科技有限公司年产十万吨干粉保温材料生产项目环境影响报告表的批复》、</w:t>
            </w:r>
            <w:r>
              <w:rPr>
                <w:rFonts w:hint="eastAsia"/>
                <w:color w:val="auto"/>
                <w:szCs w:val="21"/>
                <w:lang w:val="en-US" w:eastAsia="zh-CN"/>
              </w:rPr>
              <w:t>建设项目工程竣工环境保护“三同时”验收登记表、</w:t>
            </w:r>
            <w:r>
              <w:rPr>
                <w:rFonts w:hint="eastAsia"/>
                <w:szCs w:val="21"/>
                <w:lang w:val="en-US" w:eastAsia="zh-CN"/>
              </w:rPr>
              <w:t>襄阳坤隆建材科技有限公司环保竣工环境保护验收意见、验收工作组名单，提供湖北博测检测技术有限公司检测报告，报告日期：2021年1月6日。提供2021.4.24日湖北吉祥安全技术服务有限公司对职业病危害因素的检测报告。</w:t>
            </w:r>
          </w:p>
          <w:p>
            <w:pPr>
              <w:rPr>
                <w:szCs w:val="21"/>
              </w:rPr>
            </w:pPr>
            <w:r>
              <w:rPr>
                <w:rFonts w:hint="eastAsia"/>
              </w:rPr>
              <w:t>相关方投诉情况：无。</w:t>
            </w:r>
          </w:p>
          <w:p>
            <w:pPr>
              <w:spacing w:line="440" w:lineRule="exact"/>
              <w:rPr>
                <w:sz w:val="24"/>
                <w:szCs w:val="24"/>
              </w:rPr>
            </w:pPr>
          </w:p>
          <w:p>
            <w:pPr>
              <w:spacing w:line="440" w:lineRule="exact"/>
              <w:rPr>
                <w:sz w:val="21"/>
                <w:szCs w:val="21"/>
              </w:rPr>
            </w:pPr>
            <w:r>
              <w:rPr>
                <w:rFonts w:hint="eastAsia"/>
                <w:sz w:val="21"/>
                <w:szCs w:val="21"/>
              </w:rPr>
              <w:t>公司的质量、环境和职业健康安全的方针：</w:t>
            </w:r>
          </w:p>
          <w:p>
            <w:pPr>
              <w:spacing w:line="360" w:lineRule="auto"/>
              <w:ind w:firstLine="1470" w:firstLineChars="700"/>
              <w:jc w:val="both"/>
              <w:rPr>
                <w:rStyle w:val="8"/>
                <w:rFonts w:hint="eastAsia" w:ascii="宋体" w:hAnsi="宋体" w:eastAsia="宋体" w:cs="宋体"/>
                <w:b w:val="0"/>
                <w:bCs/>
                <w:color w:val="000000"/>
                <w:sz w:val="21"/>
                <w:szCs w:val="21"/>
              </w:rPr>
            </w:pPr>
            <w:r>
              <w:rPr>
                <w:rStyle w:val="8"/>
                <w:rFonts w:hint="eastAsia" w:ascii="宋体" w:hAnsi="宋体" w:eastAsia="宋体" w:cs="宋体"/>
                <w:b w:val="0"/>
                <w:bCs/>
                <w:color w:val="000000"/>
                <w:sz w:val="21"/>
                <w:szCs w:val="21"/>
              </w:rPr>
              <w:t>诚信为本，质量至上；节能降耗，保护环境；</w:t>
            </w:r>
          </w:p>
          <w:p>
            <w:pPr>
              <w:spacing w:line="360" w:lineRule="auto"/>
              <w:ind w:firstLine="1423" w:firstLineChars="678"/>
              <w:rPr>
                <w:rFonts w:hint="eastAsia" w:ascii="宋体" w:hAnsi="宋体" w:eastAsia="宋体" w:cs="宋体"/>
                <w:b w:val="0"/>
                <w:bCs/>
                <w:sz w:val="21"/>
                <w:szCs w:val="21"/>
              </w:rPr>
            </w:pPr>
            <w:r>
              <w:rPr>
                <w:rStyle w:val="8"/>
                <w:rFonts w:hint="eastAsia" w:ascii="宋体" w:hAnsi="宋体" w:eastAsia="宋体" w:cs="宋体"/>
                <w:b w:val="0"/>
                <w:bCs/>
                <w:color w:val="000000"/>
                <w:sz w:val="21"/>
                <w:szCs w:val="21"/>
              </w:rPr>
              <w:t>健康安全，以人为本；规范管理，持续改进。</w:t>
            </w:r>
          </w:p>
          <w:p>
            <w:pPr>
              <w:spacing w:line="440" w:lineRule="exact"/>
              <w:rPr>
                <w:rFonts w:hint="eastAsia" w:ascii="宋体" w:hAnsi="宋体" w:eastAsia="宋体" w:cs="宋体"/>
                <w:b w:val="0"/>
                <w:bCs w:val="0"/>
                <w:color w:val="000000"/>
                <w:sz w:val="21"/>
                <w:szCs w:val="21"/>
              </w:rPr>
            </w:pPr>
            <w:r>
              <w:rPr>
                <w:rFonts w:hint="eastAsia"/>
                <w:sz w:val="24"/>
                <w:szCs w:val="24"/>
              </w:rPr>
              <w:t>管理目标：</w:t>
            </w:r>
          </w:p>
          <w:p>
            <w:pPr>
              <w:ind w:firstLine="105" w:firstLineChars="5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公司环境目标：</w:t>
            </w:r>
          </w:p>
          <w:p>
            <w:pPr>
              <w:widowControl/>
              <w:autoSpaceDE w:val="0"/>
              <w:autoSpaceDN w:val="0"/>
              <w:adjustRightInd w:val="0"/>
              <w:spacing w:before="76"/>
              <w:ind w:firstLine="210" w:firstLineChars="10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 xml:space="preserve"> 生产中噪声、粉尘达标排放；</w:t>
            </w:r>
          </w:p>
          <w:p>
            <w:pPr>
              <w:widowControl/>
              <w:autoSpaceDE w:val="0"/>
              <w:autoSpaceDN w:val="0"/>
              <w:adjustRightInd w:val="0"/>
              <w:spacing w:before="110"/>
              <w:ind w:firstLine="105" w:firstLineChars="5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公司职业健康安全目标：</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1 劳动保护用品及时发放，发放率为100％ 。</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2 预防职业病，病发率为零。</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3安全事故零发生。</w:t>
            </w: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提供了本公司的环境和安全管理方案和控制措施，有编制人、审批人签字，二阶段进行进一步关注</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auto"/>
                <w:kern w:val="2"/>
                <w:sz w:val="21"/>
                <w:szCs w:val="21"/>
              </w:rPr>
            </w:pPr>
            <w:r>
              <w:rPr>
                <w:color w:val="auto"/>
                <w:kern w:val="2"/>
                <w:sz w:val="21"/>
                <w:szCs w:val="21"/>
              </w:rPr>
              <w:t>20</w:t>
            </w:r>
            <w:r>
              <w:rPr>
                <w:rFonts w:hint="eastAsia"/>
                <w:color w:val="auto"/>
                <w:kern w:val="2"/>
                <w:sz w:val="21"/>
                <w:szCs w:val="21"/>
                <w:lang w:val="en-US" w:eastAsia="zh-CN"/>
              </w:rPr>
              <w:t>20</w:t>
            </w:r>
            <w:r>
              <w:rPr>
                <w:rFonts w:hint="eastAsia"/>
                <w:color w:val="auto"/>
                <w:kern w:val="2"/>
                <w:sz w:val="21"/>
                <w:szCs w:val="21"/>
              </w:rPr>
              <w:t>年</w:t>
            </w:r>
            <w:r>
              <w:rPr>
                <w:rFonts w:hint="eastAsia"/>
                <w:color w:val="auto"/>
                <w:kern w:val="2"/>
                <w:sz w:val="21"/>
                <w:szCs w:val="21"/>
                <w:lang w:val="en-US" w:eastAsia="zh-CN"/>
              </w:rPr>
              <w:t>12</w:t>
            </w:r>
            <w:r>
              <w:rPr>
                <w:rFonts w:hint="eastAsia"/>
                <w:color w:val="auto"/>
                <w:kern w:val="2"/>
                <w:sz w:val="21"/>
                <w:szCs w:val="21"/>
              </w:rPr>
              <w:t>月</w:t>
            </w:r>
            <w:r>
              <w:rPr>
                <w:rFonts w:hint="eastAsia"/>
                <w:color w:val="auto"/>
                <w:kern w:val="2"/>
                <w:sz w:val="21"/>
                <w:szCs w:val="21"/>
                <w:lang w:val="en-US" w:eastAsia="zh-CN"/>
              </w:rPr>
              <w:t>31</w:t>
            </w:r>
            <w:r>
              <w:rPr>
                <w:rFonts w:hint="eastAsia"/>
                <w:color w:val="auto"/>
                <w:kern w:val="2"/>
                <w:sz w:val="21"/>
                <w:szCs w:val="21"/>
              </w:rPr>
              <w:t>日对适用的法律法规符合性进行了评价，提供了</w:t>
            </w:r>
            <w:r>
              <w:rPr>
                <w:color w:val="auto"/>
                <w:kern w:val="2"/>
                <w:sz w:val="21"/>
                <w:szCs w:val="21"/>
              </w:rPr>
              <w:t>20</w:t>
            </w:r>
            <w:r>
              <w:rPr>
                <w:rFonts w:hint="eastAsia"/>
                <w:color w:val="auto"/>
                <w:kern w:val="2"/>
                <w:sz w:val="21"/>
                <w:szCs w:val="21"/>
                <w:lang w:val="en-US" w:eastAsia="zh-CN"/>
              </w:rPr>
              <w:t>20</w:t>
            </w:r>
            <w:r>
              <w:rPr>
                <w:rFonts w:hint="eastAsia"/>
                <w:color w:val="auto"/>
                <w:kern w:val="2"/>
                <w:sz w:val="21"/>
                <w:szCs w:val="21"/>
              </w:rPr>
              <w:t>年合规性评价记录。</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FF0000"/>
                <w:kern w:val="2"/>
                <w:sz w:val="21"/>
                <w:szCs w:val="21"/>
              </w:rPr>
            </w:pP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提供了“重要环境因素清单”</w:t>
            </w:r>
          </w:p>
          <w:p>
            <w:pPr>
              <w:rPr>
                <w:rFonts w:ascii="宋体" w:cs="宋体"/>
                <w:kern w:val="0"/>
                <w:szCs w:val="21"/>
              </w:rPr>
            </w:pPr>
            <w:r>
              <w:t>1.</w:t>
            </w:r>
            <w:r>
              <w:rPr>
                <w:rFonts w:ascii="宋体" w:hAnsi="宋体" w:cs="宋体"/>
                <w:kern w:val="0"/>
                <w:szCs w:val="21"/>
              </w:rPr>
              <w:t xml:space="preserve"> </w:t>
            </w:r>
            <w:r>
              <w:rPr>
                <w:rFonts w:hint="eastAsia" w:ascii="宋体" w:hAnsi="宋体" w:cs="宋体"/>
                <w:kern w:val="0"/>
                <w:szCs w:val="21"/>
              </w:rPr>
              <w:t>粉尘的排放</w:t>
            </w:r>
            <w:r>
              <w:t xml:space="preserve">    2.</w:t>
            </w:r>
            <w:r>
              <w:rPr>
                <w:rFonts w:ascii="宋体" w:hAnsi="宋体" w:cs="宋体"/>
                <w:kern w:val="0"/>
                <w:szCs w:val="21"/>
              </w:rPr>
              <w:t xml:space="preserve"> </w:t>
            </w:r>
            <w:r>
              <w:rPr>
                <w:rFonts w:hint="eastAsia" w:ascii="宋体" w:hAnsi="宋体" w:cs="宋体"/>
                <w:kern w:val="0"/>
                <w:szCs w:val="21"/>
              </w:rPr>
              <w:t>噪声排放</w:t>
            </w:r>
          </w:p>
          <w:p>
            <w:r>
              <w:rPr>
                <w:rFonts w:ascii="宋体" w:hAnsi="宋体" w:cs="宋体"/>
                <w:kern w:val="0"/>
                <w:szCs w:val="21"/>
              </w:rPr>
              <w:t>3</w:t>
            </w:r>
            <w:r>
              <w:rPr>
                <w:rFonts w:hint="eastAsia" w:ascii="宋体" w:hAnsi="宋体" w:cs="宋体"/>
                <w:kern w:val="0"/>
                <w:szCs w:val="21"/>
              </w:rPr>
              <w:t>、</w:t>
            </w:r>
            <w:r>
              <w:rPr>
                <w:rFonts w:hint="eastAsia" w:ascii="新宋体" w:hAnsi="新宋体" w:eastAsia="新宋体"/>
                <w:szCs w:val="21"/>
              </w:rPr>
              <w:t>潜在火灾</w:t>
            </w:r>
            <w:r>
              <w:rPr>
                <w:rFonts w:ascii="新宋体" w:hAnsi="新宋体" w:eastAsia="新宋体"/>
                <w:szCs w:val="21"/>
              </w:rPr>
              <w:t xml:space="preserve">    4</w:t>
            </w:r>
            <w:r>
              <w:rPr>
                <w:rFonts w:hint="eastAsia" w:ascii="新宋体" w:hAnsi="新宋体" w:eastAsia="新宋体"/>
                <w:szCs w:val="21"/>
              </w:rPr>
              <w:t>、固体废物排放</w:t>
            </w:r>
          </w:p>
          <w:p>
            <w:r>
              <w:rPr>
                <w:rFonts w:hint="eastAsia"/>
              </w:rPr>
              <w:t>提供了“不可接受风险清单”</w:t>
            </w:r>
          </w:p>
          <w:p>
            <w:pPr>
              <w:numPr>
                <w:ilvl w:val="0"/>
                <w:numId w:val="1"/>
              </w:numPr>
            </w:pPr>
            <w:r>
              <w:rPr>
                <w:rFonts w:hint="eastAsia"/>
              </w:rPr>
              <w:t>机械伤害</w:t>
            </w:r>
            <w:r>
              <w:t xml:space="preserve">    2</w:t>
            </w:r>
            <w:r>
              <w:rPr>
                <w:rFonts w:hint="eastAsia"/>
              </w:rPr>
              <w:t>、高空坠落</w:t>
            </w:r>
          </w:p>
          <w:p>
            <w:pPr>
              <w:rPr>
                <w:rFonts w:hint="default" w:eastAsia="宋体"/>
                <w:bCs/>
                <w:spacing w:val="10"/>
                <w:lang w:val="en-US" w:eastAsia="zh-CN"/>
              </w:rPr>
            </w:pP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p>
            <w:pPr>
              <w:rPr>
                <w:szCs w:val="21"/>
              </w:rPr>
            </w:pP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11</w:t>
            </w:r>
            <w:r>
              <w:rPr>
                <w:szCs w:val="21"/>
              </w:rPr>
              <w:t>.</w:t>
            </w:r>
            <w:r>
              <w:rPr>
                <w:rFonts w:hint="eastAsia"/>
                <w:szCs w:val="21"/>
                <w:lang w:val="en-US" w:eastAsia="zh-CN"/>
              </w:rPr>
              <w:t>27</w:t>
            </w:r>
            <w:r>
              <w:rPr>
                <w:szCs w:val="21"/>
              </w:rPr>
              <w:t>-</w:t>
            </w:r>
            <w:r>
              <w:rPr>
                <w:rFonts w:hint="eastAsia"/>
                <w:szCs w:val="21"/>
                <w:lang w:val="en-US" w:eastAsia="zh-CN"/>
              </w:rPr>
              <w:t>28</w:t>
            </w:r>
            <w:r>
              <w:rPr>
                <w:rFonts w:hint="eastAsia"/>
                <w:szCs w:val="21"/>
              </w:rPr>
              <w:t>进行一次内审，提供了内审计划、内审记录、不符合报告、内审报告等，发现了</w:t>
            </w:r>
            <w:r>
              <w:rPr>
                <w:rFonts w:hint="eastAsia"/>
                <w:szCs w:val="21"/>
                <w:lang w:val="en-US" w:eastAsia="zh-CN"/>
              </w:rPr>
              <w:t>4</w:t>
            </w:r>
            <w:r>
              <w:rPr>
                <w:rFonts w:hint="eastAsia"/>
                <w:szCs w:val="21"/>
              </w:rPr>
              <w:t>项不符合项，具体内容，二阶段进一步审核。</w:t>
            </w:r>
          </w:p>
          <w:p>
            <w:pPr>
              <w:rPr>
                <w:szCs w:val="21"/>
              </w:rPr>
            </w:pPr>
            <w:r>
              <w:rPr>
                <w:szCs w:val="21"/>
              </w:rPr>
              <w:t>20</w:t>
            </w:r>
            <w:r>
              <w:rPr>
                <w:rFonts w:hint="eastAsia"/>
                <w:szCs w:val="21"/>
                <w:lang w:val="en-US" w:eastAsia="zh-CN"/>
              </w:rPr>
              <w:t>20</w:t>
            </w:r>
            <w:r>
              <w:rPr>
                <w:szCs w:val="21"/>
              </w:rPr>
              <w:t>.</w:t>
            </w:r>
            <w:r>
              <w:rPr>
                <w:rFonts w:hint="eastAsia"/>
                <w:szCs w:val="21"/>
                <w:lang w:val="en-US" w:eastAsia="zh-CN"/>
              </w:rPr>
              <w:t>12</w:t>
            </w:r>
            <w:r>
              <w:rPr>
                <w:szCs w:val="21"/>
              </w:rPr>
              <w:t>.</w:t>
            </w:r>
            <w:r>
              <w:rPr>
                <w:rFonts w:hint="eastAsia"/>
                <w:szCs w:val="21"/>
                <w:lang w:val="en-US" w:eastAsia="zh-CN"/>
              </w:rPr>
              <w:t>18</w:t>
            </w:r>
            <w:r>
              <w:rPr>
                <w:rFonts w:hint="eastAsia"/>
                <w:szCs w:val="21"/>
              </w:rPr>
              <w:t>召开了管理评审会议，由总经理主持。提供管理评审报告，具体内容，二阶段进一步审核。</w:t>
            </w:r>
          </w:p>
          <w:p>
            <w:pPr>
              <w:rPr>
                <w:szCs w:val="21"/>
              </w:rPr>
            </w:pPr>
          </w:p>
          <w:p>
            <w:pPr>
              <w:rPr>
                <w:rFonts w:hint="default"/>
                <w:color w:val="auto"/>
                <w:szCs w:val="21"/>
                <w:lang w:val="en-US" w:eastAsia="zh-CN"/>
              </w:rPr>
            </w:pPr>
            <w:r>
              <w:rPr>
                <w:rFonts w:hint="eastAsia"/>
                <w:color w:val="auto"/>
                <w:szCs w:val="21"/>
                <w:lang w:val="en-US" w:eastAsia="zh-CN"/>
              </w:rPr>
              <w:t>叉车、储气罐、安全阀、压力表</w:t>
            </w:r>
            <w:bookmarkStart w:id="2" w:name="_GoBack"/>
            <w:bookmarkEnd w:id="2"/>
          </w:p>
          <w:p>
            <w:pPr>
              <w:rPr>
                <w:rFonts w:hint="default" w:eastAsia="宋体"/>
                <w:szCs w:val="21"/>
                <w:lang w:val="en-US" w:eastAsia="zh-CN"/>
              </w:rPr>
            </w:pPr>
            <w:r>
              <w:rPr>
                <w:rFonts w:hint="eastAsia"/>
                <w:szCs w:val="21"/>
                <w:lang w:val="en-US" w:eastAsia="zh-CN"/>
              </w:rPr>
              <w:t>灭火器、集气罩、袋式除尘器、高压雾化除尘器、沉淀池、隔油池、化粪池。</w:t>
            </w:r>
          </w:p>
          <w:p>
            <w:pPr>
              <w:rPr>
                <w:szCs w:val="21"/>
              </w:rPr>
            </w:pPr>
          </w:p>
          <w:p>
            <w:pPr>
              <w:rPr>
                <w:szCs w:val="21"/>
              </w:rPr>
            </w:pPr>
          </w:p>
          <w:p>
            <w:pPr>
              <w:pStyle w:val="14"/>
              <w:rPr>
                <w:szCs w:val="21"/>
              </w:rPr>
            </w:pPr>
          </w:p>
          <w:p>
            <w:pPr>
              <w:rPr>
                <w:rFonts w:ascii="宋体"/>
                <w:spacing w:val="20"/>
                <w:szCs w:val="21"/>
                <w:lang w:val="de-DE"/>
              </w:rPr>
            </w:pPr>
            <w:r>
              <w:rPr>
                <w:rFonts w:hint="eastAsia"/>
                <w:szCs w:val="21"/>
              </w:rPr>
              <w:t>经询问，</w:t>
            </w:r>
            <w:bookmarkStart w:id="1" w:name="组织名称"/>
            <w:r>
              <w:rPr>
                <w:sz w:val="21"/>
                <w:szCs w:val="21"/>
              </w:rPr>
              <w:t>湖北源弘再生资源有限公司</w:t>
            </w:r>
            <w:bookmarkEnd w:id="1"/>
            <w:r>
              <w:rPr>
                <w:rFonts w:hint="eastAsia" w:ascii="宋体" w:hAnsi="宋体"/>
                <w:spacing w:val="20"/>
                <w:szCs w:val="21"/>
                <w:lang w:val="de-DE"/>
              </w:rPr>
              <w:t>于</w:t>
            </w:r>
            <w:r>
              <w:rPr>
                <w:rFonts w:ascii="宋体" w:hAnsi="宋体"/>
                <w:spacing w:val="20"/>
                <w:szCs w:val="21"/>
              </w:rPr>
              <w:t>20</w:t>
            </w:r>
            <w:r>
              <w:rPr>
                <w:rFonts w:hint="eastAsia" w:ascii="宋体" w:hAnsi="宋体"/>
                <w:spacing w:val="20"/>
                <w:szCs w:val="21"/>
                <w:lang w:val="en-US" w:eastAsia="zh-CN"/>
              </w:rPr>
              <w:t>19</w:t>
            </w:r>
            <w:r>
              <w:rPr>
                <w:rFonts w:hint="eastAsia" w:ascii="宋体" w:hAnsi="宋体"/>
                <w:spacing w:val="20"/>
                <w:szCs w:val="21"/>
                <w:lang w:val="de-DE"/>
              </w:rPr>
              <w:t>年</w:t>
            </w:r>
            <w:r>
              <w:rPr>
                <w:rFonts w:hint="eastAsia" w:ascii="宋体" w:hAnsi="宋体"/>
                <w:spacing w:val="20"/>
                <w:szCs w:val="21"/>
                <w:lang w:val="en-US" w:eastAsia="zh-CN"/>
              </w:rPr>
              <w:t>12月9日</w:t>
            </w:r>
            <w:r>
              <w:rPr>
                <w:rFonts w:hint="eastAsia" w:ascii="宋体" w:hAnsi="宋体"/>
                <w:spacing w:val="20"/>
                <w:szCs w:val="21"/>
                <w:lang w:val="de-DE"/>
              </w:rPr>
              <w:t>注册成立。是一家管理现代化、设备现代化；集</w:t>
            </w:r>
            <w:r>
              <w:rPr>
                <w:sz w:val="20"/>
              </w:rPr>
              <w:t>干混砂浆的生产及销售</w:t>
            </w:r>
            <w:r>
              <w:rPr>
                <w:rFonts w:hint="eastAsia" w:ascii="宋体" w:hAnsi="宋体"/>
                <w:spacing w:val="20"/>
                <w:szCs w:val="21"/>
                <w:lang w:val="de-DE"/>
              </w:rPr>
              <w:t>为一体的新兴民营企业，公司注册资金</w:t>
            </w:r>
            <w:r>
              <w:rPr>
                <w:rFonts w:hint="eastAsia" w:ascii="宋体" w:hAnsi="宋体"/>
                <w:spacing w:val="20"/>
                <w:szCs w:val="21"/>
                <w:lang w:val="en-US" w:eastAsia="zh-CN"/>
              </w:rPr>
              <w:t>1500</w:t>
            </w:r>
            <w:r>
              <w:rPr>
                <w:rFonts w:hint="eastAsia" w:ascii="宋体" w:hAnsi="宋体"/>
                <w:spacing w:val="20"/>
                <w:szCs w:val="21"/>
                <w:lang w:val="de-DE"/>
              </w:rPr>
              <w:t>万元</w:t>
            </w:r>
            <w:r>
              <w:rPr>
                <w:rFonts w:ascii="宋体" w:hAnsi="宋体"/>
                <w:spacing w:val="20"/>
                <w:szCs w:val="21"/>
              </w:rPr>
              <w:t>;</w:t>
            </w:r>
            <w:r>
              <w:rPr>
                <w:rFonts w:hint="eastAsia" w:ascii="宋体" w:hAnsi="宋体"/>
                <w:spacing w:val="20"/>
                <w:szCs w:val="21"/>
                <w:lang w:val="de-DE"/>
              </w:rPr>
              <w:t>注册地址：湖北省襄阳市襄州区古驿镇襄新路（襄阳坤隆建材科技公司办公楼一、二层）</w:t>
            </w:r>
            <w:r>
              <w:rPr>
                <w:rFonts w:hint="eastAsia" w:ascii="宋体" w:hAnsi="宋体"/>
                <w:spacing w:val="20"/>
                <w:szCs w:val="21"/>
                <w:lang w:val="de-DE" w:eastAsia="zh-CN"/>
              </w:rPr>
              <w:t>，</w:t>
            </w:r>
            <w:r>
              <w:rPr>
                <w:rFonts w:hint="eastAsia" w:ascii="宋体" w:hAnsi="宋体"/>
                <w:spacing w:val="20"/>
                <w:szCs w:val="21"/>
                <w:lang w:val="de-DE"/>
              </w:rPr>
              <w:t>经营地址：湖北省襄阳市襄州区钻石名城2号楼1510</w:t>
            </w:r>
            <w:r>
              <w:rPr>
                <w:rFonts w:hint="eastAsia" w:ascii="宋体" w:hAnsi="宋体"/>
                <w:spacing w:val="20"/>
                <w:szCs w:val="21"/>
                <w:lang w:val="de-DE" w:eastAsia="zh-CN"/>
              </w:rPr>
              <w:t>，</w:t>
            </w:r>
            <w:r>
              <w:rPr>
                <w:rFonts w:hint="eastAsia" w:ascii="宋体" w:hAnsi="宋体"/>
                <w:spacing w:val="20"/>
                <w:szCs w:val="21"/>
                <w:lang w:val="de-DE"/>
              </w:rPr>
              <w:t>生产地址：湖北省襄阳市襄州区古驿镇襄新路</w:t>
            </w:r>
            <w:r>
              <w:rPr>
                <w:rFonts w:hint="eastAsia"/>
                <w:lang w:eastAsia="zh-CN"/>
              </w:rPr>
              <w:t>，</w:t>
            </w:r>
            <w:r>
              <w:rPr>
                <w:rFonts w:hint="eastAsia" w:ascii="宋体" w:hAnsi="宋体"/>
                <w:spacing w:val="20"/>
                <w:szCs w:val="21"/>
                <w:lang w:val="de-DE"/>
              </w:rPr>
              <w:t>占地面积</w:t>
            </w:r>
            <w:r>
              <w:rPr>
                <w:rFonts w:hint="eastAsia" w:ascii="宋体" w:hAnsi="宋体"/>
                <w:spacing w:val="20"/>
                <w:szCs w:val="21"/>
                <w:lang w:val="en-US" w:eastAsia="zh-CN"/>
              </w:rPr>
              <w:t>12667</w:t>
            </w:r>
            <w:r>
              <w:rPr>
                <w:rFonts w:hint="eastAsia" w:ascii="宋体" w:hAnsi="宋体"/>
                <w:spacing w:val="20"/>
                <w:szCs w:val="21"/>
                <w:lang w:val="de-DE"/>
              </w:rPr>
              <w:t>平方米，</w:t>
            </w:r>
            <w:r>
              <w:rPr>
                <w:rFonts w:hint="eastAsia" w:ascii="宋体" w:hAnsi="宋体"/>
                <w:spacing w:val="20"/>
                <w:szCs w:val="21"/>
                <w:lang w:val="en-US" w:eastAsia="zh-CN"/>
              </w:rPr>
              <w:t>原材料经合格供应商采购，产品销售按要求进行合同评审后实施。</w:t>
            </w:r>
            <w:r>
              <w:rPr>
                <w:rFonts w:hint="eastAsia" w:ascii="宋体" w:hAnsi="宋体"/>
                <w:szCs w:val="21"/>
              </w:rPr>
              <w:t>具备二阶段审核的条件</w:t>
            </w:r>
          </w:p>
        </w:tc>
        <w:tc>
          <w:tcPr>
            <w:tcW w:w="993" w:type="dxa"/>
          </w:tcPr>
          <w:p/>
        </w:tc>
      </w:tr>
    </w:tbl>
    <w:p/>
    <w:p>
      <w:pPr>
        <w:pStyle w:val="3"/>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D4"/>
    <w:rsid w:val="0003373A"/>
    <w:rsid w:val="000750A3"/>
    <w:rsid w:val="000B51BD"/>
    <w:rsid w:val="000D7556"/>
    <w:rsid w:val="000E7E79"/>
    <w:rsid w:val="00104223"/>
    <w:rsid w:val="00137E98"/>
    <w:rsid w:val="001C4B29"/>
    <w:rsid w:val="001D74C0"/>
    <w:rsid w:val="001E6D15"/>
    <w:rsid w:val="00252F13"/>
    <w:rsid w:val="002F7AFB"/>
    <w:rsid w:val="0031565A"/>
    <w:rsid w:val="00321D03"/>
    <w:rsid w:val="00390345"/>
    <w:rsid w:val="003A47B7"/>
    <w:rsid w:val="003B4D0F"/>
    <w:rsid w:val="003C24FE"/>
    <w:rsid w:val="0040057D"/>
    <w:rsid w:val="00425538"/>
    <w:rsid w:val="0047664B"/>
    <w:rsid w:val="004C3B65"/>
    <w:rsid w:val="004C773A"/>
    <w:rsid w:val="004E2167"/>
    <w:rsid w:val="00502D2F"/>
    <w:rsid w:val="00585FA5"/>
    <w:rsid w:val="005B4A20"/>
    <w:rsid w:val="005E23A2"/>
    <w:rsid w:val="00610CCF"/>
    <w:rsid w:val="006250B7"/>
    <w:rsid w:val="006E270D"/>
    <w:rsid w:val="007242C9"/>
    <w:rsid w:val="0076102F"/>
    <w:rsid w:val="007620A1"/>
    <w:rsid w:val="007757F3"/>
    <w:rsid w:val="007F3A40"/>
    <w:rsid w:val="008200F8"/>
    <w:rsid w:val="00824194"/>
    <w:rsid w:val="008512D6"/>
    <w:rsid w:val="00871C15"/>
    <w:rsid w:val="008766EC"/>
    <w:rsid w:val="00894CD4"/>
    <w:rsid w:val="008973EE"/>
    <w:rsid w:val="008D6697"/>
    <w:rsid w:val="009178F7"/>
    <w:rsid w:val="00923997"/>
    <w:rsid w:val="009560D2"/>
    <w:rsid w:val="00A13B89"/>
    <w:rsid w:val="00B65520"/>
    <w:rsid w:val="00BB1088"/>
    <w:rsid w:val="00BF6E5F"/>
    <w:rsid w:val="00C6490B"/>
    <w:rsid w:val="00C67073"/>
    <w:rsid w:val="00C819D2"/>
    <w:rsid w:val="00C917F5"/>
    <w:rsid w:val="00C93EF5"/>
    <w:rsid w:val="00CA303E"/>
    <w:rsid w:val="00CA4B74"/>
    <w:rsid w:val="00D23F98"/>
    <w:rsid w:val="00D27057"/>
    <w:rsid w:val="00D471D9"/>
    <w:rsid w:val="00D72E37"/>
    <w:rsid w:val="00D963BF"/>
    <w:rsid w:val="00DB5DCA"/>
    <w:rsid w:val="00DF7245"/>
    <w:rsid w:val="00E23AF7"/>
    <w:rsid w:val="00EA6B06"/>
    <w:rsid w:val="00EA6E0E"/>
    <w:rsid w:val="00EF28F3"/>
    <w:rsid w:val="00F33E4E"/>
    <w:rsid w:val="00F5310D"/>
    <w:rsid w:val="01825D60"/>
    <w:rsid w:val="03EB00EA"/>
    <w:rsid w:val="097948D8"/>
    <w:rsid w:val="3B331818"/>
    <w:rsid w:val="3BCD1FCB"/>
    <w:rsid w:val="54E4384D"/>
    <w:rsid w:val="5A5702DC"/>
    <w:rsid w:val="5C222EE5"/>
    <w:rsid w:val="5E2D39F0"/>
    <w:rsid w:val="67F45358"/>
    <w:rsid w:val="6FC81F8B"/>
    <w:rsid w:val="749A55E8"/>
    <w:rsid w:val="749B71DD"/>
    <w:rsid w:val="7A877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kern w:val="0"/>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locked/>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Balloon Text Char"/>
    <w:basedOn w:val="7"/>
    <w:link w:val="2"/>
    <w:semiHidden/>
    <w:qFormat/>
    <w:locked/>
    <w:uiPriority w:val="99"/>
    <w:rPr>
      <w:rFonts w:ascii="Times New Roman" w:hAnsi="Times New Roman" w:eastAsia="宋体" w:cs="Times New Roman"/>
      <w:sz w:val="18"/>
    </w:rPr>
  </w:style>
  <w:style w:type="character" w:customStyle="1" w:styleId="10">
    <w:name w:val="Footer Char"/>
    <w:basedOn w:val="7"/>
    <w:link w:val="3"/>
    <w:qFormat/>
    <w:locked/>
    <w:uiPriority w:val="99"/>
    <w:rPr>
      <w:rFonts w:ascii="Times New Roman" w:hAnsi="Times New Roman" w:eastAsia="宋体" w:cs="Times New Roman"/>
      <w:sz w:val="18"/>
    </w:rPr>
  </w:style>
  <w:style w:type="character" w:customStyle="1" w:styleId="11">
    <w:name w:val="Header Char"/>
    <w:basedOn w:val="7"/>
    <w:link w:val="4"/>
    <w:qFormat/>
    <w:locked/>
    <w:uiPriority w:val="99"/>
    <w:rPr>
      <w:rFonts w:ascii="Times New Roman" w:hAnsi="Times New Roman" w:eastAsia="宋体" w:cs="Times New Roman"/>
      <w:sz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Char Char"/>
    <w:qFormat/>
    <w:locked/>
    <w:uiPriority w:val="99"/>
    <w:rPr>
      <w:rFonts w:eastAsia="宋体"/>
      <w:kern w:val="2"/>
      <w:sz w:val="18"/>
      <w:lang w:val="en-US" w:eastAsia="zh-CN"/>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47"/>
    <customShpInfo spid="_x0000_s104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272</Words>
  <Characters>1551</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2021-05-28T14:18:57Z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2A7737A0CE354399B79CF47C17BFE258</vt:lpwstr>
  </property>
</Properties>
</file>