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襄阳匠筑砂浆有限公司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邱锋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原材料预处理：干燥、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破碎、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筛分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配料，计量称重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均匀混料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包装，散装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运输（至需方指定地点）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Lines="50" w:line="240" w:lineRule="auto"/>
              <w:ind w:firstLine="42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提供《不可接受风险清单》有：职业病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，并制定有控制措施。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安全生产法、环境保护法、湖北省安全、环保、消防相关规定，GB/T25181-2019预拌砂浆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邱锋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2021.5.27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bookmarkEnd w:id="6"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9B2428"/>
    <w:rsid w:val="5DAA2A4E"/>
    <w:rsid w:val="6ABB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2021-07-05T07:35:21Z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4523350744BD47CF897F1B139549EF96</vt:lpwstr>
  </property>
</Properties>
</file>