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管理体系审核记录表(远程审核）</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268"/>
        <w:gridCol w:w="13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2160" w:type="dxa"/>
            <w:vMerge w:val="restart"/>
          </w:tcPr>
          <w:p>
            <w:pPr>
              <w:spacing w:before="1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过程与活动、</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抽样计划</w:t>
            </w:r>
          </w:p>
        </w:tc>
        <w:tc>
          <w:tcPr>
            <w:tcW w:w="960" w:type="dxa"/>
            <w:vMerge w:val="restart"/>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涉及</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条款</w:t>
            </w:r>
          </w:p>
        </w:tc>
        <w:tc>
          <w:tcPr>
            <w:tcW w:w="10268" w:type="dxa"/>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受审核部门：管理层    主管领导：总经理;</w:t>
            </w:r>
            <w:r>
              <w:t xml:space="preserve"> </w:t>
            </w:r>
            <w:r>
              <w:rPr>
                <w:rFonts w:hint="eastAsia"/>
              </w:rPr>
              <w:t>王玉涛</w:t>
            </w:r>
            <w:r>
              <w:rPr>
                <w:rFonts w:hint="eastAsia" w:asciiTheme="minorEastAsia" w:hAnsiTheme="minorEastAsia" w:eastAsiaTheme="minorEastAsia" w:cstheme="minorEastAsia"/>
                <w:szCs w:val="21"/>
              </w:rPr>
              <w:t xml:space="preserve">  管代 </w:t>
            </w:r>
            <w:r>
              <w:rPr>
                <w:rFonts w:asciiTheme="minorEastAsia" w:hAnsiTheme="minorEastAsia" w:eastAsiaTheme="minorEastAsia" w:cstheme="minorEastAsia"/>
                <w:szCs w:val="21"/>
              </w:rPr>
              <w:t xml:space="preserve"> </w:t>
            </w:r>
            <w:r>
              <w:rPr>
                <w:rFonts w:hint="eastAsia" w:eastAsiaTheme="minorEastAsia"/>
              </w:rPr>
              <w:t>宋福亮</w:t>
            </w:r>
            <w:r>
              <w:rPr>
                <w:rFonts w:hint="eastAsia"/>
              </w:rPr>
              <w:t xml:space="preserve"> </w:t>
            </w:r>
            <w:r>
              <w:rPr>
                <w:rFonts w:hint="eastAsia" w:asciiTheme="minorEastAsia" w:hAnsiTheme="minorEastAsia" w:eastAsiaTheme="minorEastAsia" w:cstheme="minorEastAsia"/>
                <w:szCs w:val="21"/>
              </w:rPr>
              <w:t xml:space="preserve">   陪同人员：</w:t>
            </w:r>
            <w:r>
              <w:rPr>
                <w:rFonts w:hint="eastAsia"/>
              </w:rPr>
              <w:t>王琳</w:t>
            </w:r>
          </w:p>
        </w:tc>
        <w:tc>
          <w:tcPr>
            <w:tcW w:w="1321" w:type="dxa"/>
            <w:vMerge w:val="restart"/>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tcPr>
          <w:p>
            <w:pPr>
              <w:rPr>
                <w:rFonts w:asciiTheme="minorEastAsia" w:hAnsiTheme="minorEastAsia" w:eastAsiaTheme="minorEastAsia" w:cstheme="minorEastAsia"/>
                <w:szCs w:val="21"/>
              </w:rPr>
            </w:pPr>
          </w:p>
        </w:tc>
        <w:tc>
          <w:tcPr>
            <w:tcW w:w="960" w:type="dxa"/>
            <w:vMerge w:val="continue"/>
          </w:tcPr>
          <w:p>
            <w:pPr>
              <w:rPr>
                <w:rFonts w:asciiTheme="minorEastAsia" w:hAnsiTheme="minorEastAsia" w:eastAsiaTheme="minorEastAsia" w:cstheme="minorEastAsia"/>
                <w:szCs w:val="21"/>
              </w:rPr>
            </w:pPr>
          </w:p>
        </w:tc>
        <w:tc>
          <w:tcPr>
            <w:tcW w:w="10268" w:type="dxa"/>
          </w:tcPr>
          <w:p>
            <w:pPr>
              <w:spacing w:before="1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审核员：李雅静      审核时间：2021年6月20日-21日</w:t>
            </w:r>
          </w:p>
        </w:tc>
        <w:tc>
          <w:tcPr>
            <w:tcW w:w="1321" w:type="dxa"/>
            <w:vMerge w:val="continue"/>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8" w:hRule="atLeast"/>
        </w:trPr>
        <w:tc>
          <w:tcPr>
            <w:tcW w:w="2160" w:type="dxa"/>
            <w:vMerge w:val="continue"/>
          </w:tcPr>
          <w:p>
            <w:pPr>
              <w:rPr>
                <w:rFonts w:asciiTheme="minorEastAsia" w:hAnsiTheme="minorEastAsia" w:eastAsiaTheme="minorEastAsia" w:cstheme="minorEastAsia"/>
                <w:szCs w:val="21"/>
              </w:rPr>
            </w:pPr>
          </w:p>
        </w:tc>
        <w:tc>
          <w:tcPr>
            <w:tcW w:w="960" w:type="dxa"/>
            <w:vMerge w:val="continue"/>
          </w:tcPr>
          <w:p>
            <w:pPr>
              <w:rPr>
                <w:rFonts w:asciiTheme="minorEastAsia" w:hAnsiTheme="minorEastAsia" w:eastAsiaTheme="minorEastAsia" w:cstheme="minorEastAsia"/>
                <w:szCs w:val="21"/>
              </w:rPr>
            </w:pPr>
          </w:p>
        </w:tc>
        <w:tc>
          <w:tcPr>
            <w:tcW w:w="10268" w:type="dxa"/>
          </w:tcPr>
          <w:p>
            <w:r>
              <w:rPr>
                <w:rFonts w:hint="eastAsia"/>
              </w:rPr>
              <w:t>审核条款：</w:t>
            </w:r>
          </w:p>
          <w:p>
            <w:pPr>
              <w:rPr>
                <w:rFonts w:ascii="宋体" w:hAnsi="宋体"/>
                <w:sz w:val="18"/>
              </w:rPr>
            </w:pPr>
            <w:r>
              <w:rPr>
                <w:rFonts w:ascii="宋体" w:hAnsi="宋体"/>
                <w:sz w:val="18"/>
              </w:rPr>
              <w:t xml:space="preserve">Q:4.1/4.2/4.3/4.4/5.1/5.2/5.3/6.1/6.2/6.3/7.1.1/9.1.1/9.3/10.1/10.3 </w:t>
            </w:r>
          </w:p>
          <w:p>
            <w:pPr>
              <w:rPr>
                <w:rFonts w:ascii="宋体" w:hAnsi="宋体"/>
                <w:sz w:val="18"/>
              </w:rPr>
            </w:pPr>
            <w:r>
              <w:rPr>
                <w:rFonts w:ascii="宋体" w:hAnsi="宋体"/>
                <w:sz w:val="18"/>
              </w:rPr>
              <w:t>E:4.1/4.2/4.3/4.4/5.1/5.2/5.3/6.1.1/6.1.4/6.2/7.1/9.3/10.1/10.3</w:t>
            </w:r>
          </w:p>
          <w:p>
            <w:pPr>
              <w:rPr>
                <w:rFonts w:ascii="宋体" w:hAnsi="宋体"/>
                <w:sz w:val="18"/>
              </w:rPr>
            </w:pPr>
            <w:r>
              <w:rPr>
                <w:rFonts w:hint="eastAsia" w:ascii="宋体" w:hAnsi="宋体"/>
                <w:sz w:val="18"/>
              </w:rPr>
              <w:t>S</w:t>
            </w:r>
            <w:r>
              <w:rPr>
                <w:rFonts w:ascii="宋体" w:hAnsi="宋体"/>
                <w:sz w:val="18"/>
              </w:rPr>
              <w:t>:4.1/4.2/4.3/4.4/5.1/5.2/5.3/</w:t>
            </w:r>
            <w:r>
              <w:rPr>
                <w:rFonts w:hint="eastAsia" w:ascii="宋体" w:hAnsi="宋体"/>
                <w:sz w:val="18"/>
              </w:rPr>
              <w:t>5.4/</w:t>
            </w:r>
            <w:r>
              <w:rPr>
                <w:rFonts w:ascii="宋体" w:hAnsi="宋体"/>
                <w:sz w:val="18"/>
              </w:rPr>
              <w:t>6.1.1/6.1.4/6.2/7.1/</w:t>
            </w:r>
            <w:r>
              <w:rPr>
                <w:rFonts w:hint="eastAsia" w:ascii="宋体" w:hAnsi="宋体"/>
                <w:sz w:val="18"/>
              </w:rPr>
              <w:t>7.4/</w:t>
            </w:r>
            <w:r>
              <w:rPr>
                <w:rFonts w:ascii="宋体" w:hAnsi="宋体"/>
                <w:sz w:val="18"/>
              </w:rPr>
              <w:t>9.3/10.1/10.3</w:t>
            </w:r>
          </w:p>
          <w:p>
            <w:pPr>
              <w:snapToGrid w:val="0"/>
              <w:spacing w:line="260" w:lineRule="exact"/>
            </w:pPr>
            <w:r>
              <w:rPr>
                <w:rFonts w:hint="eastAsia" w:ascii="宋体" w:hAnsi="宋体"/>
                <w:sz w:val="18"/>
              </w:rPr>
              <w:t>资质验证/范围再确认/</w:t>
            </w:r>
            <w:r>
              <w:rPr>
                <w:rFonts w:hint="eastAsia" w:ascii="宋体" w:hAnsi="宋体"/>
                <w:sz w:val="18"/>
                <w:lang w:val="en-US" w:eastAsia="zh-CN"/>
              </w:rPr>
              <w:t>上次</w:t>
            </w:r>
            <w:r>
              <w:rPr>
                <w:rFonts w:hint="eastAsia" w:ascii="宋体" w:hAnsi="宋体"/>
                <w:sz w:val="18"/>
              </w:rPr>
              <w:t>问题验证/投诉或事故/政府主管部门监督抽查情况</w:t>
            </w:r>
          </w:p>
        </w:tc>
        <w:tc>
          <w:tcPr>
            <w:tcW w:w="1321" w:type="dxa"/>
            <w:vMerge w:val="continue"/>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2160" w:type="dxa"/>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资质、范围再确认</w:t>
            </w:r>
          </w:p>
          <w:p>
            <w:pPr>
              <w:rPr>
                <w:rFonts w:asciiTheme="minorEastAsia" w:hAnsiTheme="minorEastAsia" w:eastAsiaTheme="minorEastAsia" w:cstheme="minorEastAsia"/>
                <w:szCs w:val="21"/>
              </w:rPr>
            </w:pPr>
          </w:p>
        </w:tc>
        <w:tc>
          <w:tcPr>
            <w:tcW w:w="960" w:type="dxa"/>
          </w:tcPr>
          <w:p>
            <w:pPr>
              <w:rPr>
                <w:rFonts w:asciiTheme="minorEastAsia" w:hAnsiTheme="minorEastAsia" w:eastAsiaTheme="minorEastAsia" w:cstheme="minorEastAsia"/>
                <w:color w:val="FF0000"/>
                <w:szCs w:val="21"/>
              </w:rPr>
            </w:pPr>
            <w:r>
              <w:rPr>
                <w:rFonts w:hint="eastAsia" w:asciiTheme="minorEastAsia" w:hAnsiTheme="minorEastAsia" w:eastAsiaTheme="minorEastAsia" w:cstheme="minorEastAsia"/>
                <w:szCs w:val="21"/>
              </w:rPr>
              <w:t>QES4.3</w:t>
            </w:r>
          </w:p>
        </w:tc>
        <w:tc>
          <w:tcPr>
            <w:tcW w:w="10268" w:type="dxa"/>
          </w:tcPr>
          <w:p>
            <w:pPr>
              <w:rPr>
                <w:bCs/>
                <w:spacing w:val="10"/>
                <w:szCs w:val="22"/>
              </w:rPr>
            </w:pPr>
            <w:r>
              <w:rPr>
                <w:rFonts w:hint="eastAsia"/>
                <w:bCs/>
                <w:spacing w:val="10"/>
                <w:szCs w:val="22"/>
              </w:rPr>
              <w:t>北京博宇汽车服务有限公司， 2007年06月11日成立，注册资金：510万(元) 注册及经营地址：</w:t>
            </w:r>
            <w:bookmarkStart w:id="0" w:name="注册地址"/>
            <w:r>
              <w:rPr>
                <w:bCs/>
                <w:spacing w:val="10"/>
                <w:szCs w:val="22"/>
              </w:rPr>
              <w:t>北京市房山区城关街道马各庄村东</w:t>
            </w:r>
            <w:bookmarkEnd w:id="0"/>
            <w:r>
              <w:rPr>
                <w:rFonts w:hint="eastAsia"/>
                <w:bCs/>
                <w:spacing w:val="10"/>
                <w:szCs w:val="22"/>
              </w:rPr>
              <w:t>统一社会信用代码：</w:t>
            </w:r>
            <w:r>
              <w:rPr>
                <w:bCs/>
                <w:spacing w:val="10"/>
                <w:szCs w:val="22"/>
              </w:rPr>
              <w:t>91110111L1844637XY</w:t>
            </w:r>
            <w:r>
              <w:rPr>
                <w:rFonts w:hint="eastAsia"/>
                <w:bCs/>
                <w:spacing w:val="10"/>
                <w:szCs w:val="22"/>
              </w:rPr>
              <w:t>；  经营期限：</w:t>
            </w:r>
            <w:r>
              <w:rPr>
                <w:bCs/>
                <w:spacing w:val="10"/>
                <w:szCs w:val="22"/>
              </w:rPr>
              <w:t>2014-03-14 至 2044-03-13</w:t>
            </w:r>
            <w:r>
              <w:rPr>
                <w:rFonts w:hint="eastAsia"/>
                <w:bCs/>
                <w:spacing w:val="10"/>
                <w:szCs w:val="22"/>
              </w:rPr>
              <w:t>。</w:t>
            </w:r>
            <w:r>
              <w:rPr>
                <w:rFonts w:hint="eastAsia"/>
                <w:spacing w:val="10"/>
                <w:szCs w:val="22"/>
              </w:rPr>
              <w:t>经营范围：</w:t>
            </w:r>
            <w:r>
              <w:rPr>
                <w:rFonts w:hint="eastAsia"/>
                <w:szCs w:val="22"/>
              </w:rPr>
              <w:t>机动车维修（限色漆使用水性漆且喷漆和喷枪清洗环节密闭并配套废气收集处理装置）；租赁机械设备、电器设备、汽车（不含九座以上客车）；家居装饰及装饰设计；销售化工产品（不含危险化学品）、建筑材料、装饰材料、五金交电（不含电动自行车）、机械设备、电器设备、日用杂品、办公用品、汽车、汽车配件、润滑油、燃料油、苗木；专业承包；施工总承包；劳务分包；园林绿化服务；物业管理；工程设计；旅游资源开发（不含旅游业务）；清洁服务（不含洗车服务）；家庭劳务服务；技术开发；经济信息咨询；种植果树、苗木、花卉、中草药；化粪池清掏；水污染治理；管道疏通；普通货运（道路运输经营许可证有效期至2022年05月28日）；机动车辆保险（保险兼业代理业务许可证有效期至2022年03月1日）；城市生活垃圾清扫、收集、运输、处理。（企业依法自主选择经营项目，开展经营活动；城市生活垃圾清扫、收集、运输、处理、普通货运、机动车辆保险以及依法须经批准的项目，经相关部门批准后依批准的内容开展经营活动；不得从事本市产业政策禁止和限制类项目的经营活动。），公司的主要客户群为全国各地的企业、机关、个人，公司采用总经理负责制，层层把关，让用户真正放心。</w:t>
            </w:r>
          </w:p>
          <w:p>
            <w:pPr>
              <w:rPr>
                <w:bCs/>
                <w:spacing w:val="10"/>
                <w:szCs w:val="22"/>
              </w:rPr>
            </w:pPr>
          </w:p>
          <w:p>
            <w:pPr>
              <w:pStyle w:val="2"/>
              <w:rPr>
                <w:szCs w:val="22"/>
              </w:rPr>
            </w:pPr>
            <w:r>
              <w:rPr>
                <w:rFonts w:hint="eastAsia"/>
                <w:szCs w:val="22"/>
              </w:rPr>
              <w:t>提供有企业营业执照：见附件</w:t>
            </w:r>
          </w:p>
          <w:p>
            <w:pPr>
              <w:pStyle w:val="2"/>
              <w:rPr>
                <w:szCs w:val="22"/>
              </w:rPr>
            </w:pPr>
            <w:r>
              <w:rPr>
                <w:rFonts w:hint="eastAsia"/>
                <w:szCs w:val="22"/>
              </w:rPr>
              <w:t>提供相关资质：</w:t>
            </w:r>
          </w:p>
          <w:p>
            <w:pPr>
              <w:pStyle w:val="2"/>
              <w:rPr>
                <w:szCs w:val="22"/>
              </w:rPr>
            </w:pPr>
            <w:r>
              <w:rPr>
                <w:szCs w:val="22"/>
              </w:rPr>
              <w:t>①房山区环保局-环评批复</w:t>
            </w:r>
          </w:p>
          <w:p>
            <w:pPr>
              <w:pStyle w:val="2"/>
              <w:rPr>
                <w:szCs w:val="22"/>
              </w:rPr>
            </w:pPr>
            <w:r>
              <w:rPr>
                <w:szCs w:val="22"/>
              </w:rPr>
              <w:t>噪声、工业企业厂界噪声标准  （GB12348-90)中一类标准</w:t>
            </w:r>
          </w:p>
          <w:p>
            <w:pPr>
              <w:pStyle w:val="2"/>
              <w:rPr>
                <w:szCs w:val="22"/>
              </w:rPr>
            </w:pPr>
            <w:r>
              <w:rPr>
                <w:szCs w:val="22"/>
              </w:rPr>
              <w:t>危废（废旧机油）</w:t>
            </w:r>
          </w:p>
          <w:p>
            <w:pPr>
              <w:pStyle w:val="2"/>
              <w:rPr>
                <w:szCs w:val="22"/>
              </w:rPr>
            </w:pPr>
            <w:r>
              <w:rPr>
                <w:szCs w:val="22"/>
              </w:rPr>
              <w:t>固废  不得随意倾倒</w:t>
            </w:r>
          </w:p>
          <w:p>
            <w:pPr>
              <w:pStyle w:val="2"/>
              <w:rPr>
                <w:szCs w:val="22"/>
              </w:rPr>
            </w:pPr>
            <w:r>
              <w:rPr>
                <w:szCs w:val="22"/>
              </w:rPr>
              <w:t>禁止洗车</w:t>
            </w:r>
          </w:p>
          <w:p>
            <w:pPr>
              <w:pStyle w:val="2"/>
              <w:rPr>
                <w:szCs w:val="22"/>
              </w:rPr>
            </w:pPr>
            <w:r>
              <w:rPr>
                <w:szCs w:val="22"/>
              </w:rPr>
              <w:t>②生活垃圾经营运输许可</w:t>
            </w:r>
          </w:p>
          <w:p>
            <w:pPr>
              <w:pStyle w:val="2"/>
              <w:rPr>
                <w:szCs w:val="22"/>
              </w:rPr>
            </w:pPr>
            <w:r>
              <w:rPr>
                <w:szCs w:val="22"/>
              </w:rPr>
              <w:t xml:space="preserve">从事生活垃圾（建筑垃圾、土方、沙石）经营性运输服务行政许可   </w:t>
            </w:r>
          </w:p>
          <w:p>
            <w:pPr>
              <w:pStyle w:val="2"/>
              <w:rPr>
                <w:szCs w:val="22"/>
              </w:rPr>
            </w:pPr>
            <w:r>
              <w:rPr>
                <w:szCs w:val="22"/>
              </w:rPr>
              <w:t xml:space="preserve">③从事生活垃圾经营性收集、运输服务 </w:t>
            </w:r>
          </w:p>
          <w:p>
            <w:pPr>
              <w:pStyle w:val="2"/>
              <w:rPr>
                <w:szCs w:val="22"/>
              </w:rPr>
            </w:pPr>
            <w:r>
              <w:rPr>
                <w:szCs w:val="22"/>
              </w:rPr>
              <w:t xml:space="preserve"> ④ 北京市房山交通局  机动车维修经营备案 </w:t>
            </w:r>
            <w:r>
              <w:rPr>
                <w:rFonts w:hint="eastAsia"/>
                <w:szCs w:val="22"/>
              </w:rPr>
              <w:t>（二类汽车维修）</w:t>
            </w:r>
            <w:r>
              <w:rPr>
                <w:szCs w:val="22"/>
              </w:rPr>
              <w:t xml:space="preserve"> </w:t>
            </w:r>
          </w:p>
          <w:p>
            <w:pPr>
              <w:pStyle w:val="2"/>
              <w:rPr>
                <w:szCs w:val="22"/>
              </w:rPr>
            </w:pPr>
            <w:r>
              <w:rPr>
                <w:szCs w:val="22"/>
              </w:rPr>
              <w:t>被案号：修备110111100306 经营范围：二类汽车维修（大中型客车维修、小型车维修、大型货车维修）</w:t>
            </w:r>
          </w:p>
          <w:p>
            <w:pPr>
              <w:pStyle w:val="2"/>
              <w:rPr>
                <w:szCs w:val="22"/>
              </w:rPr>
            </w:pPr>
            <w:r>
              <w:rPr>
                <w:szCs w:val="22"/>
              </w:rPr>
              <w:t>申办时间：2019年10月15日</w:t>
            </w:r>
          </w:p>
          <w:p>
            <w:pPr>
              <w:pStyle w:val="2"/>
              <w:rPr>
                <w:szCs w:val="22"/>
              </w:rPr>
            </w:pPr>
            <w:r>
              <w:rPr>
                <w:szCs w:val="22"/>
              </w:rPr>
              <w:t>⑤道路运输经营许可证</w:t>
            </w:r>
          </w:p>
          <w:p>
            <w:pPr>
              <w:pStyle w:val="2"/>
              <w:rPr>
                <w:szCs w:val="22"/>
              </w:rPr>
            </w:pPr>
            <w:r>
              <w:rPr>
                <w:szCs w:val="22"/>
              </w:rPr>
              <w:t>编号： 京交运许可货字110111012624   有效期：2022.5.28</w:t>
            </w:r>
          </w:p>
          <w:p>
            <w:pPr>
              <w:pStyle w:val="2"/>
              <w:rPr>
                <w:szCs w:val="22"/>
              </w:rPr>
            </w:pPr>
          </w:p>
          <w:p>
            <w:pPr>
              <w:rPr>
                <w:bCs/>
                <w:spacing w:val="10"/>
                <w:szCs w:val="22"/>
              </w:rPr>
            </w:pPr>
            <w:r>
              <w:rPr>
                <w:rFonts w:hint="eastAsia"/>
                <w:bCs/>
                <w:spacing w:val="10"/>
                <w:szCs w:val="22"/>
              </w:rPr>
              <w:t>认证范围：</w:t>
            </w:r>
          </w:p>
          <w:p>
            <w:pPr>
              <w:rPr>
                <w:bCs/>
                <w:spacing w:val="10"/>
                <w:szCs w:val="22"/>
              </w:rPr>
            </w:pPr>
            <w:r>
              <w:rPr>
                <w:rFonts w:hint="eastAsia"/>
                <w:bCs/>
                <w:spacing w:val="10"/>
                <w:szCs w:val="22"/>
              </w:rPr>
              <w:t>Q：资质许可范围内的普通货运，城市生活垃圾清扫、收集、运输，二类汽车维修（大中型客车维修、小型车维修、大型货车维修）</w:t>
            </w:r>
          </w:p>
          <w:p>
            <w:pPr>
              <w:rPr>
                <w:bCs/>
                <w:spacing w:val="10"/>
                <w:szCs w:val="22"/>
              </w:rPr>
            </w:pPr>
            <w:r>
              <w:rPr>
                <w:rFonts w:hint="eastAsia"/>
                <w:bCs/>
                <w:spacing w:val="10"/>
                <w:szCs w:val="22"/>
              </w:rPr>
              <w:t>E：资质许可范围内的普通货运，城市生活垃圾清扫、收集、运输，二类汽车维修（大中型客车维修、小型车维修、大型货车维修）及其场所所涉及的环境管理活动</w:t>
            </w:r>
          </w:p>
          <w:p>
            <w:pPr>
              <w:pStyle w:val="2"/>
              <w:rPr>
                <w:szCs w:val="22"/>
              </w:rPr>
            </w:pPr>
            <w:r>
              <w:rPr>
                <w:rFonts w:hint="eastAsia"/>
                <w:szCs w:val="22"/>
              </w:rPr>
              <w:t xml:space="preserve">O：资质许可范围内的普通货运，城市生活垃圾清扫、收集、运输，二类汽车维修（大中型客车维修、小型车维修、大型货车维修）及其场所所涉及的职业健康安全管理活动 </w:t>
            </w:r>
          </w:p>
          <w:p>
            <w:pPr>
              <w:rPr>
                <w:bCs/>
                <w:spacing w:val="10"/>
                <w:szCs w:val="22"/>
              </w:rPr>
            </w:pPr>
            <w:r>
              <w:rPr>
                <w:rFonts w:hint="eastAsia"/>
                <w:bCs/>
                <w:spacing w:val="10"/>
                <w:szCs w:val="22"/>
              </w:rPr>
              <w:t>认证范围在经营范围内。不适用条款:Q8.3，因资质许可范围内的普通货运，城市生活垃圾清扫、收集、运输，二类汽车维修（大中型客车维修、小型车维修、大型货车维修）均按照客户的要求进行，模式较成熟，不涉及产品的设计开发，8.3条款的不适用，不影响体系的完整性</w:t>
            </w:r>
          </w:p>
          <w:p>
            <w:pPr>
              <w:rPr>
                <w:bCs/>
                <w:spacing w:val="10"/>
                <w:szCs w:val="22"/>
              </w:rPr>
            </w:pPr>
            <w:r>
              <w:rPr>
                <w:rFonts w:hint="eastAsia"/>
                <w:bCs/>
                <w:spacing w:val="10"/>
                <w:szCs w:val="22"/>
              </w:rPr>
              <w:t>查国家企业信用信息公示系统，企业无异常经营记录、无违法失信记录。</w:t>
            </w:r>
          </w:p>
          <w:p>
            <w:pPr>
              <w:ind w:firstLine="460" w:firstLineChars="200"/>
              <w:rPr>
                <w:bCs/>
                <w:spacing w:val="10"/>
                <w:szCs w:val="22"/>
              </w:rPr>
            </w:pPr>
            <w:r>
              <w:rPr>
                <w:rFonts w:hint="eastAsia"/>
                <w:bCs/>
                <w:spacing w:val="10"/>
                <w:szCs w:val="22"/>
              </w:rPr>
              <w:t>投诉或事故:无      政府主管部门监督抽查情况:</w:t>
            </w:r>
          </w:p>
        </w:tc>
        <w:tc>
          <w:tcPr>
            <w:tcW w:w="1321" w:type="dxa"/>
          </w:tcPr>
          <w:p>
            <w:pPr>
              <w:rPr>
                <w:bCs/>
                <w:spacing w:val="1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2160" w:type="dxa"/>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理解组织及其环境</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总要求</w:t>
            </w:r>
          </w:p>
        </w:tc>
        <w:tc>
          <w:tcPr>
            <w:tcW w:w="960" w:type="dxa"/>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QES4.1</w:t>
            </w:r>
          </w:p>
          <w:p>
            <w:pPr>
              <w:rPr>
                <w:rFonts w:asciiTheme="minorEastAsia" w:hAnsiTheme="minorEastAsia" w:eastAsiaTheme="minorEastAsia" w:cstheme="minorEastAsia"/>
                <w:szCs w:val="21"/>
              </w:rPr>
            </w:pPr>
          </w:p>
        </w:tc>
        <w:tc>
          <w:tcPr>
            <w:tcW w:w="10268" w:type="dxa"/>
          </w:tcPr>
          <w:p>
            <w:pPr>
              <w:pStyle w:val="3"/>
              <w:spacing w:line="480" w:lineRule="exact"/>
              <w:jc w:val="left"/>
              <w:rPr>
                <w:rFonts w:hint="default" w:asciiTheme="minorEastAsia" w:hAnsiTheme="minorEastAsia" w:eastAsiaTheme="minorEastAsia" w:cstheme="minorEastAsia"/>
              </w:rPr>
            </w:pPr>
            <w:r>
              <w:rPr>
                <w:rFonts w:asciiTheme="minorEastAsia" w:hAnsiTheme="minorEastAsia" w:eastAsiaTheme="minorEastAsia" w:cstheme="minorEastAsia"/>
              </w:rPr>
              <w:t>现场询问总经理</w:t>
            </w:r>
            <w:r>
              <w:rPr>
                <w:rFonts w:eastAsiaTheme="minorEastAsia"/>
              </w:rPr>
              <w:t xml:space="preserve">王玉涛 </w:t>
            </w:r>
            <w:r>
              <w:rPr>
                <w:rFonts w:asciiTheme="minorEastAsia" w:hAnsiTheme="minorEastAsia" w:eastAsiaTheme="minorEastAsia" w:cstheme="minorEastAsia"/>
              </w:rPr>
              <w:t>，公司确定了与本公司质量、环境、职业健康安全目标和战略方向相关并影响实现质量、环境、职业健康安全管理体系预期结果的各种因素，包括：</w:t>
            </w:r>
          </w:p>
          <w:p>
            <w:pPr>
              <w:pStyle w:val="3"/>
              <w:spacing w:line="480" w:lineRule="exact"/>
              <w:ind w:firstLine="420" w:firstLineChars="200"/>
              <w:jc w:val="left"/>
              <w:rPr>
                <w:rFonts w:hint="default" w:asciiTheme="minorEastAsia" w:hAnsiTheme="minorEastAsia" w:eastAsiaTheme="minorEastAsia" w:cstheme="minorEastAsia"/>
              </w:rPr>
            </w:pPr>
            <w:r>
              <w:rPr>
                <w:rFonts w:asciiTheme="minorEastAsia" w:hAnsiTheme="minorEastAsia" w:eastAsiaTheme="minorEastAsia" w:cstheme="minorEastAsia"/>
              </w:rPr>
              <w:t>--外部的文化、社会、政治、法律、监管、财务、技术、经济、自然以及竞争环境，包括国际的、国内的、区域的和地方的；</w:t>
            </w:r>
          </w:p>
          <w:p>
            <w:pPr>
              <w:pStyle w:val="3"/>
              <w:spacing w:line="480" w:lineRule="exact"/>
              <w:ind w:firstLine="420" w:firstLineChars="200"/>
              <w:jc w:val="left"/>
              <w:rPr>
                <w:rFonts w:hint="default" w:asciiTheme="minorEastAsia" w:hAnsiTheme="minorEastAsia" w:eastAsiaTheme="minorEastAsia" w:cstheme="minorEastAsia"/>
              </w:rPr>
            </w:pPr>
            <w:r>
              <w:rPr>
                <w:rFonts w:asciiTheme="minorEastAsia" w:hAnsiTheme="minorEastAsia" w:eastAsiaTheme="minorEastAsia" w:cstheme="minorEastAsia"/>
              </w:rPr>
              <w:t>--组织内部特征或条件，例如：其活动、产品和服务、战略方向、文化与能力.</w:t>
            </w:r>
          </w:p>
          <w:p>
            <w:pPr>
              <w:pStyle w:val="3"/>
              <w:spacing w:line="480" w:lineRule="exact"/>
              <w:ind w:firstLine="420" w:firstLineChars="200"/>
              <w:jc w:val="left"/>
              <w:rPr>
                <w:rFonts w:hint="default" w:asciiTheme="minorEastAsia" w:hAnsiTheme="minorEastAsia" w:eastAsiaTheme="minorEastAsia" w:cstheme="minorEastAsia"/>
              </w:rPr>
            </w:pPr>
            <w:r>
              <w:rPr>
                <w:rFonts w:asciiTheme="minorEastAsia" w:hAnsiTheme="minorEastAsia" w:eastAsiaTheme="minorEastAsia" w:cstheme="minorEastAsia"/>
              </w:rPr>
              <w:t>--国际、国内、区域和当地的各种法律法规、竞争、市场和经济方面因素；</w:t>
            </w:r>
          </w:p>
          <w:p>
            <w:pPr>
              <w:pStyle w:val="3"/>
              <w:spacing w:line="480" w:lineRule="exact"/>
              <w:ind w:firstLine="420" w:firstLineChars="200"/>
              <w:jc w:val="left"/>
              <w:rPr>
                <w:rFonts w:hint="default" w:asciiTheme="minorEastAsia" w:hAnsiTheme="minorEastAsia" w:eastAsiaTheme="minorEastAsia" w:cstheme="minorEastAsia"/>
              </w:rPr>
            </w:pPr>
            <w:r>
              <w:rPr>
                <w:rFonts w:asciiTheme="minorEastAsia" w:hAnsiTheme="minorEastAsia" w:eastAsiaTheme="minorEastAsia" w:cstheme="minorEastAsia"/>
              </w:rPr>
              <w:t>--公司和员工的文化、价值观、知识、绩效等因素；</w:t>
            </w:r>
          </w:p>
          <w:p>
            <w:pPr>
              <w:pStyle w:val="3"/>
              <w:spacing w:line="480" w:lineRule="exact"/>
              <w:ind w:firstLine="420" w:firstLineChars="200"/>
              <w:jc w:val="left"/>
              <w:rPr>
                <w:rFonts w:hint="default" w:asciiTheme="minorEastAsia" w:hAnsiTheme="minorEastAsia" w:eastAsiaTheme="minorEastAsia" w:cstheme="minorEastAsia"/>
              </w:rPr>
            </w:pPr>
            <w:r>
              <w:rPr>
                <w:rFonts w:asciiTheme="minorEastAsia" w:hAnsiTheme="minorEastAsia" w:eastAsiaTheme="minorEastAsia" w:cstheme="minorEastAsia"/>
              </w:rPr>
              <w:t>--确定受组织影响的或能够影响组织的环境状况。考虑可能从组织内延伸到当地、区域或全球系统：</w:t>
            </w:r>
          </w:p>
          <w:p>
            <w:pPr>
              <w:pStyle w:val="3"/>
              <w:spacing w:line="480" w:lineRule="exact"/>
              <w:ind w:firstLine="420" w:firstLineChars="200"/>
              <w:jc w:val="left"/>
              <w:rPr>
                <w:rFonts w:hint="default" w:asciiTheme="minorEastAsia" w:hAnsiTheme="minorEastAsia" w:eastAsiaTheme="minorEastAsia" w:cstheme="minorEastAsia"/>
              </w:rPr>
            </w:pPr>
            <w:r>
              <w:rPr>
                <w:rFonts w:asciiTheme="minorEastAsia" w:hAnsiTheme="minorEastAsia" w:eastAsiaTheme="minorEastAsia" w:cstheme="minorEastAsia"/>
              </w:rPr>
              <w:t>--包括与气候、空气质量、水质量、土地使用、现存污染、自然资源的可获得性、生物多样性等相关的环境状况；</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公司主要业务为</w:t>
            </w:r>
            <w:r>
              <w:rPr>
                <w:rFonts w:hint="eastAsia" w:ascii="宋体" w:hAnsi="宋体"/>
                <w:szCs w:val="21"/>
              </w:rPr>
              <w:t>资质许可范围内的普通货运，城市生活垃圾清扫、收集、运输，二类汽车维修（大中型客车维修、小型车维修、大型货车维修）及相关技术活动</w:t>
            </w:r>
            <w:r>
              <w:rPr>
                <w:rFonts w:hint="eastAsia" w:asciiTheme="minorEastAsia" w:hAnsiTheme="minorEastAsia" w:eastAsiaTheme="minorEastAsia" w:cstheme="minorEastAsia"/>
                <w:szCs w:val="21"/>
              </w:rPr>
              <w:t>，客户覆盖全国企业、机关等单位；公司采用经理负责制，层层把关，让用户真正放心。</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提供了《组织内外部环境因素识别表》：</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内部环境：资源因素－公司提供符合上述产品生</w:t>
            </w:r>
            <w:r>
              <w:rPr>
                <w:rFonts w:hint="eastAsia" w:asciiTheme="minorEastAsia" w:hAnsiTheme="minorEastAsia" w:eastAsiaTheme="minorEastAsia" w:cstheme="minorEastAsia"/>
                <w:kern w:val="0"/>
                <w:szCs w:val="21"/>
              </w:rPr>
              <w:t>产</w:t>
            </w:r>
            <w:r>
              <w:rPr>
                <w:rFonts w:hint="eastAsia" w:asciiTheme="minorEastAsia" w:hAnsiTheme="minorEastAsia" w:eastAsiaTheme="minorEastAsia" w:cstheme="minorEastAsia"/>
                <w:szCs w:val="21"/>
              </w:rPr>
              <w:t>服务的场所，配备适宜的硬件和软件设施设备。</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信息来源：设施设备台账</w:t>
            </w:r>
          </w:p>
          <w:p>
            <w:pPr>
              <w:rPr>
                <w:rFonts w:cs="Lucida Sans"/>
                <w:b/>
              </w:rPr>
            </w:pPr>
            <w:r>
              <w:rPr>
                <w:rFonts w:hint="eastAsia"/>
              </w:rPr>
              <w:t>设备有：货车、垃圾车、洗地机、扳手、打印机、电脑、电话</w:t>
            </w:r>
            <w:r>
              <w:rPr>
                <w:rFonts w:hint="eastAsia"/>
                <w:szCs w:val="22"/>
              </w:rPr>
              <w:t>等，</w:t>
            </w:r>
            <w:r>
              <w:rPr>
                <w:rFonts w:hint="eastAsia" w:cs="Lucida Sans"/>
                <w:bCs/>
              </w:rPr>
              <w:t>提供维修保养计划及记录，满足要求。</w:t>
            </w:r>
          </w:p>
          <w:p>
            <w:pPr>
              <w:rPr>
                <w:bCs/>
                <w:szCs w:val="24"/>
              </w:rPr>
            </w:pPr>
            <w:r>
              <w:rPr>
                <w:rFonts w:hint="eastAsia" w:cs="Lucida Sans"/>
                <w:bCs/>
              </w:rPr>
              <w:t>环保设施包括：垃圾桶、活性炭废气处理装置</w:t>
            </w:r>
          </w:p>
          <w:p>
            <w:pPr>
              <w:widowControl/>
              <w:spacing w:line="460" w:lineRule="exact"/>
              <w:jc w:val="left"/>
              <w:rPr>
                <w:bCs/>
                <w:szCs w:val="21"/>
              </w:rPr>
            </w:pPr>
            <w:r>
              <w:rPr>
                <w:rFonts w:hint="eastAsia" w:cs="Lucida Sans"/>
                <w:bCs/>
              </w:rPr>
              <w:t>安全设施配置主要有：标识牌、灭火器、消防器材等，</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基本的质量控制要求－SWOT分析：WT……</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外部环境：竞争力－：同类产品制作厂家比较多，竞争力强，市场调查和分析－具体现状描述：本公司产品质量稳定，－SWOT分析：ST……</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公司管理层已确定了外部和内部因素，已经对经营环境、内外部环境进行分析并提出对策，并进行了监视和评审。</w:t>
            </w:r>
          </w:p>
        </w:tc>
        <w:tc>
          <w:tcPr>
            <w:tcW w:w="1321" w:type="dxa"/>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理解相关方的需求和期望</w:t>
            </w:r>
          </w:p>
        </w:tc>
        <w:tc>
          <w:tcPr>
            <w:tcW w:w="960" w:type="dxa"/>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QES4.2</w:t>
            </w:r>
          </w:p>
        </w:tc>
        <w:tc>
          <w:tcPr>
            <w:tcW w:w="10268" w:type="dxa"/>
          </w:tcPr>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与公司领导交流，</w:t>
            </w:r>
            <w:r>
              <w:rPr>
                <w:rFonts w:hint="eastAsia"/>
              </w:rPr>
              <w:t>销售部门和相关职能部门通过日常例会、市场活动、现场拜访、产品展销会、客户调查等多种渠道和方式方法随时了解相关方的需求和期望。内外部环境要素识别与评估：在每年的管理评审前，由相关部门负责人进行识别并评估其适宜性。以便于持续满足相关方的需求和期望。</w:t>
            </w:r>
            <w:r>
              <w:rPr>
                <w:rFonts w:hint="eastAsia" w:asciiTheme="minorEastAsia" w:hAnsiTheme="minorEastAsia" w:eastAsiaTheme="minorEastAsia" w:cstheme="minorEastAsia"/>
                <w:szCs w:val="21"/>
              </w:rPr>
              <w:t>做为公司经营风险分析和发展机遇的可利用资源。内外部相关方需求分析高管层分析很到位，政策执行也好，未形成很好的书面材料。</w:t>
            </w:r>
          </w:p>
          <w:p>
            <w:pPr>
              <w:spacing w:line="360" w:lineRule="auto"/>
              <w:ind w:firstLine="420" w:firstLineChars="200"/>
            </w:pPr>
            <w:r>
              <w:rPr>
                <w:rFonts w:hint="eastAsia"/>
              </w:rPr>
              <w:t>公司运营过程中充分考虑相关方方面的期望或要求，识别的相关方有：顾客、最终用户或受益人、业主，股东、员工等。</w:t>
            </w:r>
          </w:p>
        </w:tc>
        <w:tc>
          <w:tcPr>
            <w:tcW w:w="1321" w:type="dxa"/>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160" w:type="dxa"/>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管理体系及其过程</w:t>
            </w:r>
          </w:p>
          <w:p>
            <w:pPr>
              <w:rPr>
                <w:rFonts w:asciiTheme="minorEastAsia" w:hAnsiTheme="minorEastAsia" w:eastAsiaTheme="minorEastAsia" w:cstheme="minorEastAsia"/>
                <w:szCs w:val="21"/>
              </w:rPr>
            </w:pPr>
          </w:p>
        </w:tc>
        <w:tc>
          <w:tcPr>
            <w:tcW w:w="960" w:type="dxa"/>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QES4.4</w:t>
            </w:r>
          </w:p>
        </w:tc>
        <w:tc>
          <w:tcPr>
            <w:tcW w:w="10268" w:type="dxa"/>
          </w:tcPr>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组织于</w:t>
            </w:r>
            <w:r>
              <w:rPr>
                <w:rFonts w:hint="eastAsia"/>
              </w:rPr>
              <w:t>2019年8月15日</w:t>
            </w:r>
            <w:r>
              <w:rPr>
                <w:rFonts w:hint="eastAsia" w:asciiTheme="minorEastAsia" w:hAnsiTheme="minorEastAsia" w:eastAsiaTheme="minorEastAsia" w:cstheme="minorEastAsia"/>
                <w:szCs w:val="21"/>
              </w:rPr>
              <w:t>发布并实施管理体系。同时根据自身的实际情况和标准的要求组织工作人员编制了管理手册、作业文件和记录表格，制定了管理方针和管理目标。通过对过程监测结果进行分析，公司管理体系不断改进。</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确定了管理体系所需的过程，如文件与记录管理过程、合同评审过程、销售过程、产品实现过程等，并明确各过程的目标和职责，及各过程之间的衔接和影响。 提供了支持过程策划和运行的形成文件的信息。见“部门管理目标策划记录”对管理目标完成情况进行检查、统计、记录。</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体系从建立至今运行良好，没有变化。</w:t>
            </w:r>
          </w:p>
        </w:tc>
        <w:tc>
          <w:tcPr>
            <w:tcW w:w="1321" w:type="dxa"/>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领导作用和承诺</w:t>
            </w:r>
          </w:p>
          <w:p>
            <w:pPr>
              <w:rPr>
                <w:rFonts w:asciiTheme="minorEastAsia" w:hAnsiTheme="minorEastAsia" w:eastAsiaTheme="minorEastAsia" w:cstheme="minorEastAsia"/>
                <w:szCs w:val="21"/>
              </w:rPr>
            </w:pP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总则</w:t>
            </w:r>
          </w:p>
        </w:tc>
        <w:tc>
          <w:tcPr>
            <w:tcW w:w="960" w:type="dxa"/>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QES5.1.1</w:t>
            </w:r>
          </w:p>
        </w:tc>
        <w:tc>
          <w:tcPr>
            <w:tcW w:w="10268" w:type="dxa"/>
          </w:tcPr>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最高管理者以顾客为关注焦点和承诺内部有通过以下方面证实：</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满足顾客产品要求和相关方环境要求的重要性意识和理念，确定和理解并持续地顾客要求以及适用的法律法规要求；</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确定和应对风险和机遇，这些风险和机遇可能影响产品和服务合格以及增强顾客满意的能力；始终致力于增强顾客和相关方满意。</w:t>
            </w:r>
          </w:p>
          <w:p>
            <w:pPr>
              <w:ind w:firstLine="420" w:firstLineChars="200"/>
            </w:pPr>
            <w:r>
              <w:rPr>
                <w:rFonts w:hint="eastAsia" w:asciiTheme="minorEastAsia" w:hAnsiTheme="minorEastAsia" w:eastAsiaTheme="minorEastAsia" w:cstheme="minorEastAsia"/>
                <w:szCs w:val="21"/>
              </w:rPr>
              <w:t>企业最高管理者对管理体系的领导作用和承诺主要通过以下方面体现：</w:t>
            </w:r>
          </w:p>
          <w:p>
            <w:pPr>
              <w:numPr>
                <w:ilvl w:val="0"/>
                <w:numId w:val="1"/>
              </w:num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对管理体系运行的有效性负责；以顾客为关注焦点</w:t>
            </w:r>
          </w:p>
          <w:p>
            <w:pPr>
              <w:numPr>
                <w:ilvl w:val="0"/>
                <w:numId w:val="1"/>
              </w:num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促进使用过程方法和基于风险的思维确保管理体系要求融入企业的业务过程；</w:t>
            </w:r>
          </w:p>
          <w:p>
            <w:pPr>
              <w:numPr>
                <w:ilvl w:val="0"/>
                <w:numId w:val="1"/>
              </w:num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确保建立的管理体系与组织内外部环境、战略方向保持一致管理方针、管理目标的制定，应与组织环境相适应，与战略方向一致；</w:t>
            </w:r>
          </w:p>
          <w:p>
            <w:pPr>
              <w:numPr>
                <w:ilvl w:val="0"/>
                <w:numId w:val="1"/>
              </w:num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为确保管理体系所需的资源（包括人力、设备、技术和信息等）确保管理体系实现期望的结果；督促人员积极参与、指导和支持员工为管理体系的有效性做出贡献；</w:t>
            </w:r>
          </w:p>
          <w:p>
            <w:pPr>
              <w:numPr>
                <w:ilvl w:val="0"/>
                <w:numId w:val="1"/>
              </w:num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支持相关管理者在其职责范围内发挥领导作用，推动改进等。领导作用和承诺充分明确，基本符合标准要求。</w:t>
            </w:r>
          </w:p>
        </w:tc>
        <w:tc>
          <w:tcPr>
            <w:tcW w:w="1321" w:type="dxa"/>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8" w:hRule="atLeast"/>
        </w:trPr>
        <w:tc>
          <w:tcPr>
            <w:tcW w:w="2160" w:type="dxa"/>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以顾客为关注焦点</w:t>
            </w:r>
          </w:p>
        </w:tc>
        <w:tc>
          <w:tcPr>
            <w:tcW w:w="960" w:type="dxa"/>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Q5.1.2</w:t>
            </w:r>
          </w:p>
        </w:tc>
        <w:tc>
          <w:tcPr>
            <w:tcW w:w="10268" w:type="dxa"/>
          </w:tcPr>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公司的成功取决于理解并满足顾客及其他相关方当前和未来的需求和期望，并争取超越这些需求和期望。最高管理者实现顾客满意为目标，做到：</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a）确定、理解并持续满足顾客要求以及适用的法律法规要求；</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b）确定和应对能够影响产品、服务符合性以及增强顾客满意能力的风险和机遇；</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c）始终致力于增强顾客满意。</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公司的生存和发展依存于顾客，公司全体员工以增强顾客满意为目标，做到：</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a)以顾客满意为目标，由销售部通过对顾客的访问、市场调查，了解和确定顾客和潜在顾客的需求和期望；</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b)通过对生产和服务要求的评审和产品实现的策划等过程，将顾客的需求和期望转化为产品要求、过程要求和质量管理要求；</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c)通过管理体系过程的有效控制，使转化的产品要求得到满足，并通过对顾客反馈信息的分析、处置和沟通，增强顾客的满意程度；</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d)总经理应确保建立并保持定期征求顾客对产品质量及其改进方面意见的机制，通过顾客满意度调查和售后服务调查等形式征求并处置顾客意见。</w:t>
            </w:r>
          </w:p>
        </w:tc>
        <w:tc>
          <w:tcPr>
            <w:tcW w:w="1321" w:type="dxa"/>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trPr>
        <w:tc>
          <w:tcPr>
            <w:tcW w:w="2160" w:type="dxa"/>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制定管理方针</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沟通质量方针</w:t>
            </w:r>
          </w:p>
        </w:tc>
        <w:tc>
          <w:tcPr>
            <w:tcW w:w="960" w:type="dxa"/>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QES</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5.2</w:t>
            </w:r>
          </w:p>
          <w:p>
            <w:pPr>
              <w:rPr>
                <w:rFonts w:asciiTheme="minorEastAsia" w:hAnsiTheme="minorEastAsia" w:eastAsiaTheme="minorEastAsia" w:cstheme="minorEastAsia"/>
                <w:szCs w:val="21"/>
              </w:rPr>
            </w:pPr>
          </w:p>
        </w:tc>
        <w:tc>
          <w:tcPr>
            <w:tcW w:w="10268" w:type="dxa"/>
          </w:tcPr>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该企业的管理方针是：</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顾客至上、强化服务</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以人为本、顾客满意</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节能降耗、安全第一</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珍惜环境、和谐发展</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公司通过各种宣传方式，将管理方针宣传到本公司各层次，确保方针得到正确的理解和实施。在每次管理评审会议上，总经理组织对方针的持续适宜性和有效性进行评审，并根据评审结果对其做出必要的调整。通过招投标、公司宣传图册、向认证机构或客户提供的相关手册中，向相关方传递公司质量、环境、职业健康安全方针及其内涵。</w:t>
            </w:r>
          </w:p>
          <w:p>
            <w:pPr>
              <w:ind w:firstLine="420" w:firstLineChars="200"/>
              <w:rPr>
                <w:rFonts w:asciiTheme="minorEastAsia" w:hAnsiTheme="minorEastAsia" w:eastAsiaTheme="minorEastAsia" w:cstheme="minorEastAsia"/>
                <w:szCs w:val="21"/>
              </w:rPr>
            </w:pPr>
          </w:p>
        </w:tc>
        <w:tc>
          <w:tcPr>
            <w:tcW w:w="1321" w:type="dxa"/>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r>
              <w:rPr>
                <w:rFonts w:hint="eastAsia"/>
              </w:rPr>
              <w:t>组织的岗位、职责和权限</w:t>
            </w:r>
          </w:p>
          <w:p>
            <w:pPr>
              <w:pStyle w:val="2"/>
              <w:rPr>
                <w:rFonts w:asciiTheme="minorEastAsia" w:hAnsiTheme="minorEastAsia" w:eastAsiaTheme="minorEastAsia" w:cstheme="minorEastAsia"/>
                <w:bCs w:val="0"/>
                <w:szCs w:val="21"/>
              </w:rPr>
            </w:pPr>
          </w:p>
          <w:p>
            <w:pPr>
              <w:pStyle w:val="2"/>
              <w:rPr>
                <w:rFonts w:asciiTheme="minorEastAsia" w:hAnsiTheme="minorEastAsia" w:eastAsiaTheme="minorEastAsia" w:cstheme="minorEastAsia"/>
                <w:bCs w:val="0"/>
                <w:szCs w:val="21"/>
              </w:rPr>
            </w:pPr>
          </w:p>
          <w:p>
            <w:pPr>
              <w:pStyle w:val="2"/>
              <w:rPr>
                <w:rFonts w:asciiTheme="minorEastAsia" w:hAnsiTheme="minorEastAsia" w:eastAsiaTheme="minorEastAsia" w:cstheme="minorEastAsia"/>
                <w:bCs w:val="0"/>
                <w:szCs w:val="21"/>
              </w:rPr>
            </w:pPr>
            <w:r>
              <w:rPr>
                <w:rFonts w:hint="eastAsia" w:asciiTheme="minorEastAsia" w:hAnsiTheme="minorEastAsia" w:eastAsiaTheme="minorEastAsia" w:cstheme="minorEastAsia"/>
                <w:bCs w:val="0"/>
                <w:szCs w:val="21"/>
              </w:rPr>
              <w:t>抽查员工代表职责权限</w:t>
            </w:r>
          </w:p>
        </w:tc>
        <w:tc>
          <w:tcPr>
            <w:tcW w:w="960" w:type="dxa"/>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QES5.3</w:t>
            </w:r>
          </w:p>
          <w:p>
            <w:pPr>
              <w:pStyle w:val="2"/>
              <w:rPr>
                <w:rFonts w:asciiTheme="minorEastAsia" w:hAnsiTheme="minorEastAsia" w:eastAsiaTheme="minorEastAsia" w:cstheme="minorEastAsia"/>
                <w:szCs w:val="21"/>
              </w:rPr>
            </w:pPr>
          </w:p>
          <w:p>
            <w:pPr>
              <w:pStyle w:val="2"/>
              <w:rPr>
                <w:rFonts w:asciiTheme="minorEastAsia" w:hAnsiTheme="minorEastAsia" w:eastAsiaTheme="minorEastAsia" w:cstheme="minorEastAsia"/>
                <w:szCs w:val="21"/>
              </w:rPr>
            </w:pPr>
          </w:p>
          <w:p>
            <w:pPr>
              <w:pStyle w:val="2"/>
              <w:rPr>
                <w:rFonts w:asciiTheme="minorEastAsia" w:hAnsiTheme="minorEastAsia" w:eastAsiaTheme="minorEastAsia" w:cstheme="minorEastAsia"/>
                <w:szCs w:val="21"/>
              </w:rPr>
            </w:pPr>
          </w:p>
          <w:p>
            <w:pPr>
              <w:pStyle w:val="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S 5.4</w:t>
            </w:r>
          </w:p>
          <w:p>
            <w:pPr>
              <w:pStyle w:val="2"/>
            </w:pPr>
          </w:p>
          <w:p>
            <w:pPr>
              <w:pStyle w:val="2"/>
            </w:pPr>
          </w:p>
          <w:p>
            <w:pPr>
              <w:rPr>
                <w:rFonts w:asciiTheme="minorEastAsia" w:hAnsiTheme="minorEastAsia" w:eastAsiaTheme="minorEastAsia" w:cstheme="minorEastAsia"/>
                <w:szCs w:val="21"/>
              </w:rPr>
            </w:pPr>
          </w:p>
        </w:tc>
        <w:tc>
          <w:tcPr>
            <w:tcW w:w="10268" w:type="dxa"/>
          </w:tcPr>
          <w:p>
            <w:pPr>
              <w:ind w:firstLine="420" w:firstLineChars="200"/>
            </w:pPr>
            <w:r>
              <w:rPr>
                <w:rFonts w:hint="eastAsia"/>
              </w:rPr>
              <w:t>公司设置的组织结构基本合理，有效进行管理体系各项活动，出示了公司管理体系职能分配表。并规定了各级各岗位人员职责、权限和相互关系，并在公司内对各级员工进行了必要的传达。</w:t>
            </w:r>
          </w:p>
          <w:p>
            <w:pPr>
              <w:ind w:firstLine="420" w:firstLineChars="200"/>
            </w:pPr>
            <w:r>
              <w:rPr>
                <w:rFonts w:hint="eastAsia"/>
              </w:rPr>
              <w:t>对从事与质量有关的管理、执行和验证人员规定其职责、权限及其相互关系，并书面化，以实现公司管理方针和管理目标。</w:t>
            </w:r>
          </w:p>
          <w:p>
            <w:pPr>
              <w:numPr>
                <w:ilvl w:val="0"/>
                <w:numId w:val="2"/>
              </w:numPr>
              <w:tabs>
                <w:tab w:val="left" w:pos="900"/>
              </w:tabs>
              <w:spacing w:line="336" w:lineRule="auto"/>
              <w:ind w:left="426" w:right="237" w:rightChars="113" w:hanging="426"/>
            </w:pPr>
            <w:r>
              <w:rPr>
                <w:rFonts w:hint="eastAsia"/>
              </w:rPr>
              <w:t>查到授权书：公司任命卢凤芝为本公司的职业健康安全事务代表。相关人员均对本部门的管理职责了解，在其手册上面有书面的职责权限已公布。</w:t>
            </w:r>
          </w:p>
          <w:p>
            <w:pPr>
              <w:numPr>
                <w:ilvl w:val="0"/>
                <w:numId w:val="2"/>
              </w:numPr>
              <w:tabs>
                <w:tab w:val="left" w:pos="900"/>
              </w:tabs>
              <w:spacing w:line="336" w:lineRule="auto"/>
              <w:ind w:left="426" w:right="237" w:rightChars="113" w:hanging="426"/>
            </w:pPr>
            <w:r>
              <w:rPr>
                <w:rFonts w:hint="eastAsia"/>
              </w:rPr>
              <w:t xml:space="preserve">参与环境因素及危险源辨识、风险评价和风险控制； </w:t>
            </w:r>
          </w:p>
          <w:p>
            <w:pPr>
              <w:numPr>
                <w:ilvl w:val="0"/>
                <w:numId w:val="2"/>
              </w:numPr>
              <w:tabs>
                <w:tab w:val="left" w:pos="900"/>
              </w:tabs>
              <w:spacing w:line="336" w:lineRule="auto"/>
              <w:ind w:left="426" w:right="237" w:rightChars="113" w:hanging="426"/>
            </w:pPr>
            <w:r>
              <w:rPr>
                <w:rFonts w:hint="eastAsia"/>
              </w:rPr>
              <w:t>参与事故和事件的调查以及现场职业健康安全检查等职业健康安全事务；</w:t>
            </w:r>
          </w:p>
          <w:p>
            <w:pPr>
              <w:numPr>
                <w:ilvl w:val="0"/>
                <w:numId w:val="2"/>
              </w:numPr>
              <w:tabs>
                <w:tab w:val="left" w:pos="900"/>
              </w:tabs>
              <w:spacing w:line="336" w:lineRule="auto"/>
              <w:ind w:left="426" w:right="237" w:rightChars="113" w:hanging="426"/>
            </w:pPr>
            <w:r>
              <w:rPr>
                <w:rFonts w:hint="eastAsia"/>
              </w:rPr>
              <w:t>代表员工参与制定职业健康安全方针、目标、管理方案和运行控制程序；</w:t>
            </w:r>
          </w:p>
          <w:p>
            <w:pPr>
              <w:numPr>
                <w:ilvl w:val="0"/>
                <w:numId w:val="2"/>
              </w:numPr>
              <w:tabs>
                <w:tab w:val="left" w:pos="426"/>
              </w:tabs>
              <w:spacing w:line="440" w:lineRule="exact"/>
              <w:ind w:left="426" w:hanging="426"/>
            </w:pPr>
            <w:r>
              <w:rPr>
                <w:rFonts w:hint="eastAsia"/>
              </w:rPr>
              <w:t>代表员工参与职业健康安全的管理评审；参与职业健康安全和环保协商、评审和改进活动，并向厂长反映职业健康安全和环保问题；</w:t>
            </w:r>
          </w:p>
          <w:p>
            <w:pPr>
              <w:numPr>
                <w:ilvl w:val="0"/>
                <w:numId w:val="2"/>
              </w:numPr>
              <w:tabs>
                <w:tab w:val="left" w:pos="900"/>
              </w:tabs>
              <w:spacing w:line="336" w:lineRule="auto"/>
              <w:ind w:left="426" w:right="237" w:rightChars="113" w:hanging="426"/>
            </w:pPr>
            <w:r>
              <w:rPr>
                <w:rFonts w:hint="eastAsia"/>
              </w:rPr>
              <w:t>代表员工参与商讨影响工作场所职业健康安全的任何变化；代表员工参与职业健康安全事务。</w:t>
            </w:r>
          </w:p>
          <w:p>
            <w:pPr>
              <w:tabs>
                <w:tab w:val="left" w:pos="900"/>
              </w:tabs>
              <w:spacing w:line="336" w:lineRule="auto"/>
              <w:ind w:right="237" w:rightChars="113"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职业健康安全事务代表的沟通,主要是在安全方面和企业的内部沟通，以及同相关方的沟通,内部的沟通的内容有,传递会议精神,国家的相关的法律和其他要求,安全工作的检查等.和相关方的沟通,主要是地方的相关行政部门,如安监局等.沟通的方式有电话、传真、会议和文件等。</w:t>
            </w:r>
          </w:p>
          <w:p>
            <w:pPr>
              <w:pStyle w:val="2"/>
              <w:ind w:firstLine="460" w:firstLineChars="200"/>
            </w:pPr>
            <w:r>
              <w:rPr>
                <w:rFonts w:hint="eastAsia" w:asciiTheme="minorEastAsia" w:hAnsiTheme="minorEastAsia" w:eastAsiaTheme="minorEastAsia" w:cstheme="minorEastAsia"/>
                <w:szCs w:val="21"/>
              </w:rPr>
              <w:t>与职业安全事务代表-</w:t>
            </w:r>
            <w:r>
              <w:rPr>
                <w:rFonts w:hint="eastAsia"/>
              </w:rPr>
              <w:t>卢凤芝</w:t>
            </w:r>
            <w:r>
              <w:rPr>
                <w:rFonts w:hint="eastAsia" w:asciiTheme="minorEastAsia" w:hAnsiTheme="minorEastAsia" w:eastAsiaTheme="minorEastAsia" w:cstheme="minorEastAsia"/>
                <w:szCs w:val="21"/>
              </w:rPr>
              <w:t xml:space="preserve">现场沟通，思路清晰、沟通顺畅，对自己岗位职责有清晰的理解。  </w:t>
            </w:r>
          </w:p>
        </w:tc>
        <w:tc>
          <w:tcPr>
            <w:tcW w:w="1321" w:type="dxa"/>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2160" w:type="dxa"/>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风险和机遇应对措施及策划</w:t>
            </w:r>
          </w:p>
        </w:tc>
        <w:tc>
          <w:tcPr>
            <w:tcW w:w="960" w:type="dxa"/>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QES</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6.1.1</w:t>
            </w:r>
          </w:p>
        </w:tc>
        <w:tc>
          <w:tcPr>
            <w:tcW w:w="10268" w:type="dxa"/>
          </w:tcPr>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公司制定管理手册中，明确风险和机遇事件的识别方法/途径、风险和机遇事件的评估方式、制定主要风险和机遇事件的应对措施的要求、评价这些措施有效性的方法。制定《风险和机遇控制程序》，制定了“风险和机遇应对措施表”，按照过程/部门对风险和机遇进行了评价识别，并制定应对措施。</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每月按照合同、协议对账时间及时对账，催款，回款，降低资金风险。</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本公司盖完章后，一个月内必须收回对方盖章合同。如到期回不来备注原因，降低公司无合同风险。</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定期汇总分析市场情况，包括行业发展情况，相关企业产品分析，竞品分析，行业政策跟踪，以保证随时掌握行业及竞争企业的发展动态，为研发及业务拓展提供决策依据；</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要提前制定好采购计划和拓展采购的渠道，保证供应。</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公司提供财务支持，对主要供应商的优质产品保持价格优势，促进有序采购；</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及时获取顾客要求，对供货商进行严格资质评定，有环保要求的产品要求提供检测报告或材质单应急准备与响应控制程序、应急预案/制定目标等。</w:t>
            </w:r>
          </w:p>
          <w:p>
            <w:pPr>
              <w:pStyle w:val="2"/>
              <w:rPr>
                <w:rFonts w:ascii="宋体" w:hAnsi="宋体"/>
                <w:szCs w:val="21"/>
              </w:rPr>
            </w:pPr>
            <w:r>
              <w:rPr>
                <w:rFonts w:hint="eastAsia"/>
              </w:rPr>
              <w:t>EMS的风险：</w:t>
            </w:r>
            <w:r>
              <w:rPr>
                <w:rFonts w:hint="eastAsia" w:ascii="宋体" w:hAnsi="宋体"/>
                <w:szCs w:val="21"/>
              </w:rPr>
              <w:t>如固废；危险废弃物(硒鼓/墨盒/色带/日光灯等) 控制不当；噪声风险：适用的法律法规收不全、不及时、不了解导致违规行为的发生等。</w:t>
            </w:r>
          </w:p>
          <w:p>
            <w:pPr>
              <w:pStyle w:val="2"/>
            </w:pPr>
            <w:r>
              <w:rPr>
                <w:rFonts w:hint="eastAsia" w:ascii="宋体" w:hAnsi="宋体"/>
                <w:szCs w:val="21"/>
              </w:rPr>
              <w:t>OHSMS风险：如火灾、触电、人员外出造成意外伤害、职业病等。</w:t>
            </w:r>
          </w:p>
          <w:p>
            <w:pPr>
              <w:rPr>
                <w:rFonts w:eastAsiaTheme="minorEastAsia"/>
              </w:rPr>
            </w:pPr>
            <w:r>
              <w:rPr>
                <w:rFonts w:hint="eastAsia" w:asciiTheme="minorEastAsia" w:hAnsiTheme="minorEastAsia" w:eastAsiaTheme="minorEastAsia" w:cstheme="minorEastAsia"/>
                <w:szCs w:val="21"/>
              </w:rPr>
              <w:t>参与识别人员：</w:t>
            </w:r>
            <w:r>
              <w:rPr>
                <w:rFonts w:hint="eastAsia"/>
              </w:rPr>
              <w:t>王玉涛、宋福亮、刘逍迎、那庆刚、崔宏涛、卢凤芝</w:t>
            </w:r>
            <w:r>
              <w:rPr>
                <w:rFonts w:hint="eastAsia" w:asciiTheme="minorEastAsia" w:hAnsiTheme="minorEastAsia" w:eastAsiaTheme="minorEastAsia" w:cstheme="minorEastAsia"/>
                <w:szCs w:val="21"/>
              </w:rPr>
              <w:t xml:space="preserve">等， </w:t>
            </w:r>
            <w:r>
              <w:rPr>
                <w:rFonts w:asciiTheme="minorEastAsia" w:hAnsiTheme="minorEastAsia" w:eastAsiaTheme="minorEastAsia" w:cstheme="minorEastAsia"/>
                <w:szCs w:val="21"/>
              </w:rPr>
              <w:t>2020.8.15</w:t>
            </w:r>
            <w:r>
              <w:rPr>
                <w:rFonts w:hint="eastAsia" w:asciiTheme="minorEastAsia" w:hAnsiTheme="minorEastAsia" w:eastAsiaTheme="minorEastAsia" w:cstheme="minorEastAsia"/>
                <w:szCs w:val="21"/>
              </w:rPr>
              <w:t>，批准：</w:t>
            </w:r>
            <w:r>
              <w:rPr>
                <w:rFonts w:hint="eastAsia" w:eastAsiaTheme="minorEastAsia"/>
              </w:rPr>
              <w:t>王玉涛</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风险机遇识别基本充分，应对风险和机遇的措施基本适宜，公司运行平稳，风险机遇识别较没变化</w:t>
            </w:r>
          </w:p>
        </w:tc>
        <w:tc>
          <w:tcPr>
            <w:tcW w:w="1321" w:type="dxa"/>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8" w:hRule="atLeast"/>
        </w:trPr>
        <w:tc>
          <w:tcPr>
            <w:tcW w:w="2160" w:type="dxa"/>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管理目标及其实现的策划</w:t>
            </w:r>
          </w:p>
        </w:tc>
        <w:tc>
          <w:tcPr>
            <w:tcW w:w="960" w:type="dxa"/>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QES6.2</w:t>
            </w:r>
          </w:p>
          <w:p>
            <w:pPr>
              <w:rPr>
                <w:rFonts w:asciiTheme="minorEastAsia" w:hAnsiTheme="minorEastAsia" w:eastAsiaTheme="minorEastAsia" w:cstheme="minorEastAsia"/>
                <w:szCs w:val="21"/>
              </w:rPr>
            </w:pPr>
          </w:p>
        </w:tc>
        <w:tc>
          <w:tcPr>
            <w:tcW w:w="10268" w:type="dxa"/>
          </w:tcPr>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总经理负责组织制定公司的管理目标，并在公司各部门进行分解，制定时考虑了公司的质量过程及其风险和机遇。查公司的管理目标和实际达成情况：</w:t>
            </w:r>
          </w:p>
          <w:p>
            <w:pPr>
              <w:spacing w:line="4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w:t>
            </w:r>
            <w:bookmarkStart w:id="1" w:name="_Hlk29205844"/>
            <w:r>
              <w:rPr>
                <w:rFonts w:hint="eastAsia" w:asciiTheme="minorEastAsia" w:hAnsiTheme="minorEastAsia" w:eastAsiaTheme="minorEastAsia" w:cstheme="minorEastAsia"/>
                <w:szCs w:val="21"/>
              </w:rPr>
              <w:t xml:space="preserve"> 公司目标：                                    </w:t>
            </w:r>
          </w:p>
          <w:bookmarkEnd w:id="1"/>
          <w:p>
            <w:r>
              <w:rPr>
                <w:rFonts w:hint="eastAsia"/>
              </w:rPr>
              <w:t>服务质量合格率100%</w:t>
            </w:r>
          </w:p>
          <w:p>
            <w:r>
              <w:rPr>
                <w:rFonts w:hint="eastAsia"/>
              </w:rPr>
              <w:t>顾客满意度≥95分。</w:t>
            </w:r>
          </w:p>
          <w:p>
            <w:r>
              <w:rPr>
                <w:rFonts w:hint="eastAsia"/>
              </w:rPr>
              <w:t>固体废弃物分类处理率100%；</w:t>
            </w:r>
          </w:p>
          <w:p>
            <w:r>
              <w:rPr>
                <w:rFonts w:hint="eastAsia"/>
              </w:rPr>
              <w:t>环境污染事故发生率0；</w:t>
            </w:r>
          </w:p>
          <w:p>
            <w:r>
              <w:rPr>
                <w:rFonts w:hint="eastAsia"/>
              </w:rPr>
              <w:t>杜绝各类重伤事故，轻伤事故少于3件/年；</w:t>
            </w:r>
          </w:p>
          <w:p>
            <w:r>
              <w:rPr>
                <w:rFonts w:hint="eastAsia"/>
              </w:rPr>
              <w:t>杜绝各类火灾事故，火灾事故发生率为0</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以上目标指标均已完成。考核小组人员：</w:t>
            </w:r>
            <w:r>
              <w:rPr>
                <w:rFonts w:hint="eastAsia"/>
              </w:rPr>
              <w:t>王玉涛、宋福亮、刘逍迎、崔宏涛、卢凤芝</w:t>
            </w:r>
            <w:r>
              <w:rPr>
                <w:rFonts w:hint="eastAsia" w:asciiTheme="minorEastAsia" w:hAnsiTheme="minorEastAsia" w:eastAsiaTheme="minorEastAsia" w:cstheme="minorEastAsia"/>
                <w:szCs w:val="21"/>
              </w:rPr>
              <w:t>等；</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考核时间： 2020年3季度、2020年4季度 </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见《目标指标和管理方案》《目标指标和管理方案考核表》，管理方案规定了措施方法、完成时间表、责任人、资金等情况。详见各部门记录。</w:t>
            </w:r>
          </w:p>
        </w:tc>
        <w:tc>
          <w:tcPr>
            <w:tcW w:w="1321" w:type="dxa"/>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8" w:hRule="atLeast"/>
        </w:trPr>
        <w:tc>
          <w:tcPr>
            <w:tcW w:w="2160" w:type="dxa"/>
          </w:tcPr>
          <w:p>
            <w:pPr>
              <w:rPr>
                <w:rFonts w:asciiTheme="minorEastAsia" w:hAnsiTheme="minorEastAsia" w:eastAsiaTheme="minorEastAsia" w:cstheme="minorEastAsia"/>
                <w:szCs w:val="21"/>
              </w:rPr>
            </w:pPr>
            <w:r>
              <w:rPr>
                <w:rFonts w:hint="eastAsia"/>
                <w:szCs w:val="21"/>
              </w:rPr>
              <w:t>策划措施</w:t>
            </w:r>
          </w:p>
        </w:tc>
        <w:tc>
          <w:tcPr>
            <w:tcW w:w="960" w:type="dxa"/>
          </w:tcPr>
          <w:p>
            <w:pPr>
              <w:rPr>
                <w:rFonts w:asciiTheme="minorEastAsia" w:hAnsiTheme="minorEastAsia" w:eastAsiaTheme="minorEastAsia" w:cstheme="minorEastAsia"/>
                <w:szCs w:val="21"/>
              </w:rPr>
            </w:pPr>
            <w:r>
              <w:rPr>
                <w:rFonts w:hint="eastAsia"/>
                <w:szCs w:val="21"/>
              </w:rPr>
              <w:t>ES6.1.4</w:t>
            </w:r>
          </w:p>
        </w:tc>
        <w:tc>
          <w:tcPr>
            <w:tcW w:w="10268" w:type="dxa"/>
          </w:tcPr>
          <w:p>
            <w:pPr>
              <w:rPr>
                <w:rFonts w:asciiTheme="minorEastAsia" w:hAnsiTheme="minorEastAsia" w:eastAsiaTheme="minorEastAsia" w:cstheme="minorEastAsia"/>
                <w:szCs w:val="21"/>
              </w:rPr>
            </w:pPr>
            <w:r>
              <w:rPr>
                <w:rFonts w:hint="eastAsia"/>
                <w:szCs w:val="21"/>
              </w:rPr>
              <w:t>组织管理层策划关于开展环境和职业健康安全管理体系中所采取措施，以便管理环境、安全目标、环境因素、危险源、合规性义务、组织识别的风险等等。通过合规性评价、目标考核、运行方案、管理评审、内外部沟通等方式以保证管理体系达到预期结果。具体见各部门审核记录。</w:t>
            </w:r>
          </w:p>
        </w:tc>
        <w:tc>
          <w:tcPr>
            <w:tcW w:w="1321" w:type="dxa"/>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变更的策划</w:t>
            </w:r>
          </w:p>
        </w:tc>
        <w:tc>
          <w:tcPr>
            <w:tcW w:w="960" w:type="dxa"/>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Q6.3</w:t>
            </w:r>
          </w:p>
        </w:tc>
        <w:tc>
          <w:tcPr>
            <w:tcW w:w="10268" w:type="dxa"/>
          </w:tcPr>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受审核方明确了变更评估及实施的流程，即当发生变更时，确定变更的目的、考虑变更的潜在后果，质量管理体系的完整性，识别变更的风险和机遇，确定资源的可获得性并制定应对措施，责任和权限的分配或再分配。并要求对变更前、变更中、变更后的全过程实施监控，并组织对变更的有效性进行评价，确保质量管理体系的完整性。</w:t>
            </w:r>
          </w:p>
          <w:p>
            <w:pPr>
              <w:ind w:firstLine="420" w:firstLineChars="200"/>
            </w:pPr>
            <w:r>
              <w:rPr>
                <w:rFonts w:hint="eastAsia" w:asciiTheme="minorEastAsia" w:hAnsiTheme="minorEastAsia" w:eastAsiaTheme="minorEastAsia" w:cstheme="minorEastAsia"/>
                <w:szCs w:val="21"/>
              </w:rPr>
              <w:t>通过管理评审，内部审核结果，过程业绩分析，监视、测量、分析、评价等收集可能发生的变更信息，当组织内外环境、客户及利益相关方的需求、企业经营等方面发生重大变化，具体包括产品质量监视和测量过程中持续未达到预期结果、组织机构变化、重大人员调整、持续的经营亏损等情况下，需要对体系进行变更。企业有充分识别识别潜在的变更需求，并确保在必要时做出相应的变更。</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体系运行平稳，至今未发生变更。</w:t>
            </w:r>
          </w:p>
        </w:tc>
        <w:tc>
          <w:tcPr>
            <w:tcW w:w="1321" w:type="dxa"/>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3" w:hRule="atLeast"/>
        </w:trPr>
        <w:tc>
          <w:tcPr>
            <w:tcW w:w="2160" w:type="dxa"/>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资源-总则</w:t>
            </w:r>
          </w:p>
        </w:tc>
        <w:tc>
          <w:tcPr>
            <w:tcW w:w="960" w:type="dxa"/>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Q</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7.1.1</w:t>
            </w:r>
          </w:p>
        </w:tc>
        <w:tc>
          <w:tcPr>
            <w:tcW w:w="10268" w:type="dxa"/>
          </w:tcPr>
          <w:p>
            <w:pPr>
              <w:ind w:firstLine="420" w:firstLineChars="200"/>
            </w:pPr>
            <w:r>
              <w:rPr>
                <w:rFonts w:hint="eastAsia"/>
              </w:rPr>
              <w:t>公司根据公司经营运行需要，配备了各岗位所需人员、经营用房屋、维修设备、监视测量设备、运输设备、办公设备（电脑、打印机等）、消防器材、劳动防护用品、</w:t>
            </w:r>
          </w:p>
          <w:p>
            <w:pPr>
              <w:ind w:firstLine="420" w:firstLineChars="200"/>
            </w:pPr>
            <w:r>
              <w:rPr>
                <w:rFonts w:hint="eastAsia"/>
              </w:rPr>
              <w:t>经营运行资金等资源，体系建立至今，未发生资源不足影响满足客户要求的现象.</w:t>
            </w:r>
          </w:p>
          <w:p>
            <w:pPr>
              <w:ind w:firstLine="420" w:firstLineChars="200"/>
            </w:pPr>
            <w:r>
              <w:rPr>
                <w:rFonts w:hint="eastAsia"/>
              </w:rPr>
              <w:t>公司地址位于：</w:t>
            </w:r>
            <w:r>
              <w:t>北京市房山区城关街道马各庄村东</w:t>
            </w:r>
          </w:p>
          <w:p>
            <w:pPr>
              <w:ind w:firstLine="420" w:firstLineChars="200"/>
              <w:rPr>
                <w:rFonts w:asciiTheme="minorEastAsia" w:hAnsiTheme="minorEastAsia" w:eastAsiaTheme="minorEastAsia" w:cstheme="minorEastAsia"/>
                <w:color w:val="FF0000"/>
                <w:szCs w:val="21"/>
              </w:rPr>
            </w:pPr>
            <w:r>
              <w:rPr>
                <w:rFonts w:hint="eastAsia"/>
              </w:rPr>
              <w:t>整个办公面积</w:t>
            </w:r>
            <w:r>
              <w:t>1200</w:t>
            </w:r>
            <w:r>
              <w:rPr>
                <w:rFonts w:hint="eastAsia"/>
              </w:rPr>
              <w:t>平方，其中办公面积</w:t>
            </w:r>
            <w:r>
              <w:t>420</w:t>
            </w:r>
            <w:r>
              <w:rPr>
                <w:rFonts w:hint="eastAsia"/>
              </w:rPr>
              <w:t>平方、维修车间面积</w:t>
            </w:r>
            <w:r>
              <w:t>230</w:t>
            </w:r>
            <w:r>
              <w:rPr>
                <w:rFonts w:hint="eastAsia"/>
              </w:rPr>
              <w:t>平方、库房面积</w:t>
            </w:r>
            <w:r>
              <w:t>80</w:t>
            </w:r>
            <w:r>
              <w:rPr>
                <w:rFonts w:hint="eastAsia"/>
              </w:rPr>
              <w:t>平方，提供有房屋租赁合同，租期到2033年5月。</w:t>
            </w:r>
          </w:p>
        </w:tc>
        <w:tc>
          <w:tcPr>
            <w:tcW w:w="1321" w:type="dxa"/>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绩效测量和监视</w:t>
            </w:r>
          </w:p>
        </w:tc>
        <w:tc>
          <w:tcPr>
            <w:tcW w:w="960" w:type="dxa"/>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QES</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9.1.1</w:t>
            </w:r>
          </w:p>
          <w:p>
            <w:pPr>
              <w:rPr>
                <w:rFonts w:asciiTheme="minorEastAsia" w:hAnsiTheme="minorEastAsia" w:eastAsiaTheme="minorEastAsia" w:cstheme="minorEastAsia"/>
                <w:szCs w:val="21"/>
              </w:rPr>
            </w:pPr>
          </w:p>
        </w:tc>
        <w:tc>
          <w:tcPr>
            <w:tcW w:w="10268" w:type="dxa"/>
          </w:tcPr>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公司编制了《内部审核控制程序 》、《管理评审控制程序》，对体系的运行进行测量和监视； 编制了《顾客满意程度测量程序》对服务的质量特性进行监视和测量，以验证其符合要求的程度，确保服务符合要求；制定《管理体系业绩监测和测量控制程序》，为保证公司质量管理体系的有效运行，通过对管理绩效的监视与测量，确保体系运行的有效性。</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查阅“部门质量目标策划及考核记录表”，</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提供两个季度的管理目标指标的检查考核工作，均完成目标考核要求。</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查阅“环境和职业健康安全目标指标完成情况检查表”，体系建立至今共进行了一个季度的管理目标指标的检查考核工作，均完成目标考核要求。</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环境和职业健康安全运行管理检查情况：抽查2020年8月份《环境绩效监测评价报告》， 检查人-</w:t>
            </w:r>
            <w:r>
              <w:rPr>
                <w:rFonts w:hint="eastAsia" w:eastAsiaTheme="minorEastAsia"/>
              </w:rPr>
              <w:t>刘逍迎</w:t>
            </w:r>
            <w:r>
              <w:rPr>
                <w:rFonts w:hint="eastAsia" w:asciiTheme="minorEastAsia" w:hAnsiTheme="minorEastAsia" w:eastAsiaTheme="minorEastAsia" w:cstheme="minorEastAsia"/>
                <w:szCs w:val="21"/>
              </w:rPr>
              <w:t>，受检部门：</w:t>
            </w:r>
            <w:r>
              <w:rPr>
                <w:rFonts w:hint="eastAsia" w:eastAsiaTheme="minorEastAsia"/>
              </w:rPr>
              <w:t>办公室</w:t>
            </w:r>
            <w:r>
              <w:rPr>
                <w:rFonts w:hint="eastAsia"/>
              </w:rPr>
              <w:t>、项目部、维修部</w:t>
            </w:r>
            <w:r>
              <w:rPr>
                <w:rFonts w:hint="eastAsia" w:asciiTheme="minorEastAsia" w:hAnsiTheme="minorEastAsia" w:eastAsiaTheme="minorEastAsia" w:cstheme="minorEastAsia"/>
                <w:szCs w:val="21"/>
              </w:rPr>
              <w:t>等，对现场的办公垃圾是否及时清理、员工穿戴整齐、工作人员不得在非吸烟区内吸烟、消防设施是否完好、消防通道是否畅通、生产安全用电情况：用电是否有乱搭线现象；接地保护是否完好等进行检查。</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查公司每月为员工购买有养老等保险，提供保险单。</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外部对公司环境和安全管理要求一般口头交流；对供应商及客户等相关方有“相关方告知书”等。</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目前未发现公司出现违规现象。无被动性绩效的监视和测量。</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公司不需要对环境影响的运行的关键特性和职业健康安全绩效进行监测和测量的设备。</w:t>
            </w:r>
          </w:p>
        </w:tc>
        <w:tc>
          <w:tcPr>
            <w:tcW w:w="1321" w:type="dxa"/>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trPr>
        <w:tc>
          <w:tcPr>
            <w:tcW w:w="2160" w:type="dxa"/>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管理评审</w:t>
            </w:r>
          </w:p>
        </w:tc>
        <w:tc>
          <w:tcPr>
            <w:tcW w:w="960" w:type="dxa"/>
          </w:tcPr>
          <w:p>
            <w:pP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QES9.3</w:t>
            </w:r>
          </w:p>
          <w:p>
            <w:pPr>
              <w:rPr>
                <w:rFonts w:asciiTheme="minorEastAsia" w:hAnsiTheme="minorEastAsia" w:eastAsiaTheme="minorEastAsia" w:cstheme="minorEastAsia"/>
                <w:szCs w:val="21"/>
              </w:rPr>
            </w:pPr>
          </w:p>
        </w:tc>
        <w:tc>
          <w:tcPr>
            <w:tcW w:w="10268" w:type="dxa"/>
          </w:tcPr>
          <w:p>
            <w:pPr>
              <w:ind w:firstLine="420" w:firstLineChars="200"/>
            </w:pPr>
            <w:r>
              <w:rPr>
                <w:rFonts w:hint="eastAsia"/>
              </w:rPr>
              <w:t>公司于2020年11月28日，</w:t>
            </w:r>
          </w:p>
          <w:p>
            <w:pPr>
              <w:ind w:firstLine="420" w:firstLineChars="200"/>
            </w:pPr>
            <w:r>
              <w:rPr>
                <w:rFonts w:hint="eastAsia"/>
              </w:rPr>
              <w:t>依据：GB/T19001-2016\GB/T24001-2016\GB/T45001-2020标准进行管理评审。</w:t>
            </w:r>
          </w:p>
          <w:p>
            <w:r>
              <w:rPr>
                <w:rFonts w:hint="eastAsia"/>
              </w:rPr>
              <w:t>查阅公司管理评审资料：</w:t>
            </w:r>
          </w:p>
          <w:p>
            <w:r>
              <w:rPr>
                <w:rFonts w:hint="eastAsia"/>
              </w:rPr>
              <w:t xml:space="preserve">1.办公室 </w:t>
            </w:r>
            <w:r>
              <w:t>2020.11.22</w:t>
            </w:r>
            <w:r>
              <w:rPr>
                <w:rFonts w:hint="eastAsia"/>
              </w:rPr>
              <w:t>日发布管理评审计划， 评审方式：会议评审。</w:t>
            </w:r>
          </w:p>
          <w:p>
            <w:pPr>
              <w:spacing w:line="280" w:lineRule="exact"/>
              <w:rPr>
                <w:rFonts w:ascii="宋体" w:hAnsi="宋体" w:cs="宋体"/>
                <w:szCs w:val="21"/>
              </w:rPr>
            </w:pPr>
            <w:r>
              <w:rPr>
                <w:rFonts w:hint="eastAsia" w:ascii="宋体" w:hAnsi="宋体" w:cs="宋体"/>
                <w:szCs w:val="21"/>
              </w:rPr>
              <w:t>参加人员包括公司总经理、管理者代表、各部门负责人，</w:t>
            </w:r>
          </w:p>
          <w:p>
            <w:pPr>
              <w:spacing w:line="280" w:lineRule="exact"/>
              <w:rPr>
                <w:rFonts w:ascii="宋体" w:hAnsi="宋体" w:cs="宋体"/>
                <w:szCs w:val="21"/>
              </w:rPr>
            </w:pPr>
            <w:r>
              <w:rPr>
                <w:rFonts w:hint="eastAsia" w:ascii="宋体" w:hAnsi="宋体" w:cs="宋体"/>
                <w:szCs w:val="21"/>
              </w:rPr>
              <w:t>计划中明确了评审内容和资料准备要求。</w:t>
            </w:r>
          </w:p>
          <w:p>
            <w:pPr>
              <w:numPr>
                <w:ilvl w:val="0"/>
                <w:numId w:val="3"/>
              </w:numPr>
              <w:spacing w:line="280" w:lineRule="exact"/>
              <w:rPr>
                <w:rFonts w:ascii="宋体" w:hAnsi="宋体"/>
                <w:szCs w:val="21"/>
              </w:rPr>
            </w:pPr>
            <w:r>
              <w:rPr>
                <w:rFonts w:hint="eastAsia" w:ascii="宋体" w:hAnsi="宋体" w:cs="宋体"/>
                <w:szCs w:val="21"/>
              </w:rPr>
              <w:t>管理</w:t>
            </w:r>
            <w:r>
              <w:rPr>
                <w:rFonts w:hint="eastAsia" w:ascii="宋体" w:hAnsi="宋体"/>
                <w:szCs w:val="21"/>
              </w:rPr>
              <w:t>评审内容：</w:t>
            </w:r>
          </w:p>
          <w:p>
            <w:pPr>
              <w:ind w:left="28"/>
              <w:rPr>
                <w:rFonts w:ascii="宋体" w:hAnsi="宋体"/>
                <w:szCs w:val="21"/>
              </w:rPr>
            </w:pPr>
            <w:r>
              <w:rPr>
                <w:rFonts w:hint="eastAsia" w:ascii="宋体" w:hAnsi="宋体"/>
                <w:szCs w:val="21"/>
              </w:rPr>
              <w:t>1) 内部审核结果分析报告</w:t>
            </w:r>
          </w:p>
          <w:p>
            <w:pPr>
              <w:ind w:left="28"/>
              <w:rPr>
                <w:rFonts w:ascii="宋体" w:hAnsi="宋体"/>
                <w:szCs w:val="21"/>
              </w:rPr>
            </w:pPr>
            <w:r>
              <w:rPr>
                <w:rFonts w:hint="eastAsia" w:ascii="宋体" w:hAnsi="宋体"/>
                <w:szCs w:val="21"/>
              </w:rPr>
              <w:t>2）质量目标完成情况及环境和职业健康安全绩效报告</w:t>
            </w:r>
          </w:p>
          <w:p>
            <w:pPr>
              <w:ind w:left="28"/>
              <w:rPr>
                <w:rFonts w:ascii="宋体" w:hAnsi="宋体"/>
                <w:szCs w:val="21"/>
              </w:rPr>
            </w:pPr>
            <w:r>
              <w:rPr>
                <w:rFonts w:hint="eastAsia" w:ascii="宋体" w:hAnsi="宋体"/>
                <w:szCs w:val="21"/>
              </w:rPr>
              <w:t>3）纠正措施、预防措施效果分析报告</w:t>
            </w:r>
          </w:p>
          <w:p>
            <w:pPr>
              <w:ind w:left="28"/>
              <w:rPr>
                <w:rFonts w:ascii="宋体" w:hAnsi="宋体"/>
                <w:szCs w:val="21"/>
              </w:rPr>
            </w:pPr>
            <w:r>
              <w:rPr>
                <w:rFonts w:hint="eastAsia" w:ascii="宋体" w:hAnsi="宋体"/>
                <w:szCs w:val="21"/>
              </w:rPr>
              <w:t>4）管理方针、目标适宜性分析报告</w:t>
            </w:r>
          </w:p>
          <w:p>
            <w:pPr>
              <w:ind w:left="28"/>
              <w:rPr>
                <w:rFonts w:ascii="宋体" w:hAnsi="宋体"/>
                <w:szCs w:val="21"/>
              </w:rPr>
            </w:pPr>
            <w:r>
              <w:rPr>
                <w:rFonts w:hint="eastAsia" w:ascii="宋体" w:hAnsi="宋体"/>
                <w:szCs w:val="21"/>
              </w:rPr>
              <w:t>5）法律法规和其他要求遵循情况分析报告</w:t>
            </w:r>
          </w:p>
          <w:p>
            <w:pPr>
              <w:ind w:left="28"/>
              <w:rPr>
                <w:rFonts w:ascii="宋体" w:hAnsi="宋体"/>
                <w:szCs w:val="21"/>
              </w:rPr>
            </w:pPr>
            <w:r>
              <w:rPr>
                <w:rFonts w:hint="eastAsia" w:ascii="宋体" w:hAnsi="宋体"/>
                <w:szCs w:val="21"/>
              </w:rPr>
              <w:t>6）关于如何提高公司管理体系运行质量和效率的建议</w:t>
            </w:r>
          </w:p>
          <w:p>
            <w:pPr>
              <w:ind w:left="28"/>
              <w:rPr>
                <w:rFonts w:ascii="宋体" w:hAnsi="宋体"/>
                <w:szCs w:val="21"/>
              </w:rPr>
            </w:pPr>
            <w:r>
              <w:rPr>
                <w:rFonts w:hint="eastAsia" w:ascii="宋体" w:hAnsi="宋体"/>
                <w:szCs w:val="21"/>
              </w:rPr>
              <w:t>7）顾客反馈及满意度调查情况，相关方环境和职业健康安全信息沟通情况</w:t>
            </w:r>
          </w:p>
          <w:p>
            <w:pPr>
              <w:ind w:left="28"/>
              <w:rPr>
                <w:rFonts w:ascii="宋体" w:hAnsi="宋体"/>
                <w:szCs w:val="21"/>
              </w:rPr>
            </w:pPr>
            <w:r>
              <w:rPr>
                <w:rFonts w:hint="eastAsia" w:ascii="宋体" w:hAnsi="宋体"/>
                <w:szCs w:val="21"/>
              </w:rPr>
              <w:t>8）过程绩效及产品符合性总结，健安管理参与协商结果。</w:t>
            </w:r>
          </w:p>
          <w:p>
            <w:pPr>
              <w:ind w:left="28"/>
              <w:rPr>
                <w:rFonts w:ascii="宋体" w:hAnsi="宋体"/>
                <w:szCs w:val="21"/>
              </w:rPr>
            </w:pPr>
            <w:r>
              <w:rPr>
                <w:rFonts w:hint="eastAsia" w:ascii="宋体" w:hAnsi="宋体"/>
                <w:szCs w:val="21"/>
              </w:rPr>
              <w:t>9）影响体系变更情况提出了自体系运行以来取得的成绩和存在的不足；</w:t>
            </w:r>
          </w:p>
          <w:p>
            <w:pPr>
              <w:ind w:left="28"/>
              <w:rPr>
                <w:rFonts w:ascii="宋体" w:hAnsi="宋体"/>
                <w:szCs w:val="21"/>
              </w:rPr>
            </w:pPr>
            <w:r>
              <w:rPr>
                <w:rFonts w:hint="eastAsia" w:ascii="宋体" w:hAnsi="宋体"/>
                <w:szCs w:val="21"/>
              </w:rPr>
              <w:t>10）公司内外部环境、相关方的需求和期望、应对风险和机遇的措施及评价</w:t>
            </w:r>
          </w:p>
          <w:p>
            <w:pPr>
              <w:ind w:left="28"/>
              <w:rPr>
                <w:rFonts w:ascii="宋体" w:hAnsi="宋体"/>
                <w:szCs w:val="21"/>
              </w:rPr>
            </w:pPr>
            <w:r>
              <w:rPr>
                <w:rFonts w:hint="eastAsia" w:ascii="宋体" w:hAnsi="宋体"/>
                <w:szCs w:val="21"/>
              </w:rPr>
              <w:t>11）与管理体系相关的内外部环境因素的变化</w:t>
            </w:r>
          </w:p>
          <w:p>
            <w:pPr>
              <w:spacing w:line="280" w:lineRule="exact"/>
              <w:rPr>
                <w:rFonts w:ascii="宋体" w:hAnsi="宋体"/>
                <w:szCs w:val="21"/>
              </w:rPr>
            </w:pPr>
            <w:r>
              <w:rPr>
                <w:rFonts w:hint="eastAsia" w:ascii="宋体" w:hAnsi="宋体"/>
                <w:szCs w:val="21"/>
              </w:rPr>
              <w:t>12）公司所面临的风险和机遇采取措施的有效性</w:t>
            </w:r>
          </w:p>
          <w:p>
            <w:pPr>
              <w:spacing w:line="280" w:lineRule="exact"/>
              <w:rPr>
                <w:rFonts w:ascii="宋体" w:hAnsi="宋体" w:cs="宋体"/>
                <w:szCs w:val="21"/>
              </w:rPr>
            </w:pPr>
            <w:r>
              <w:rPr>
                <w:rFonts w:hint="eastAsia" w:ascii="宋体" w:hAnsi="宋体" w:cs="宋体"/>
                <w:szCs w:val="21"/>
              </w:rPr>
              <w:t>3.管理评审报告，</w:t>
            </w:r>
          </w:p>
          <w:p>
            <w:pPr>
              <w:spacing w:line="280" w:lineRule="exact"/>
              <w:rPr>
                <w:rFonts w:ascii="宋体" w:hAnsi="宋体" w:cs="宋体"/>
                <w:szCs w:val="21"/>
              </w:rPr>
            </w:pPr>
            <w:r>
              <w:rPr>
                <w:rFonts w:hint="eastAsia" w:ascii="宋体" w:hAnsi="宋体" w:cs="宋体"/>
                <w:szCs w:val="21"/>
              </w:rPr>
              <w:t>管理评审结论：公司各部门基本按照管理体系标准要求实施已初步取得良好的效果。公司方针、目标及管理方案、管理体系文件、质量、环境、职业健康安全控制等符合公司目前发展状况，所配备的各类资源基本满足管理体系要求。公司质量、环境、职业健康安全管理体系基本是充分、有效和适宜的。</w:t>
            </w:r>
          </w:p>
          <w:p>
            <w:pPr>
              <w:spacing w:line="280" w:lineRule="exact"/>
              <w:rPr>
                <w:rFonts w:ascii="宋体" w:hAnsi="宋体" w:cs="宋体"/>
                <w:szCs w:val="21"/>
              </w:rPr>
            </w:pPr>
            <w:r>
              <w:rPr>
                <w:rFonts w:hint="eastAsia" w:ascii="宋体" w:hAnsi="宋体" w:cs="宋体"/>
                <w:szCs w:val="21"/>
              </w:rPr>
              <w:t>4.改进计划，</w:t>
            </w:r>
          </w:p>
          <w:p>
            <w:pPr>
              <w:spacing w:line="300" w:lineRule="auto"/>
              <w:ind w:firstLine="420" w:firstLineChars="200"/>
              <w:rPr>
                <w:rFonts w:ascii="宋体" w:hAnsi="宋体"/>
                <w:szCs w:val="21"/>
              </w:rPr>
            </w:pPr>
            <w:r>
              <w:rPr>
                <w:rFonts w:hint="eastAsia" w:ascii="宋体" w:hAnsi="宋体"/>
                <w:szCs w:val="21"/>
              </w:rPr>
              <w:t>1）、加强新版职业健康标准文件学习，提高员工的安全意识</w:t>
            </w:r>
          </w:p>
          <w:p>
            <w:pPr>
              <w:pStyle w:val="2"/>
              <w:ind w:firstLine="460" w:firstLineChars="200"/>
              <w:rPr>
                <w:rFonts w:ascii="宋体" w:hAnsi="宋体"/>
                <w:szCs w:val="21"/>
              </w:rPr>
            </w:pPr>
            <w:r>
              <w:rPr>
                <w:rFonts w:hint="eastAsia" w:ascii="宋体" w:hAnsi="宋体"/>
                <w:szCs w:val="21"/>
              </w:rPr>
              <w:t>2）、对项目部服务过程强化服务意识和规范，加强对过程检查，对不合格输出采取有效的纠正或纠正措施</w:t>
            </w:r>
          </w:p>
          <w:p>
            <w:pPr>
              <w:pStyle w:val="2"/>
              <w:ind w:firstLine="460" w:firstLineChars="200"/>
              <w:rPr>
                <w:rFonts w:eastAsiaTheme="minorEastAsia"/>
              </w:rPr>
            </w:pPr>
            <w:r>
              <w:rPr>
                <w:rFonts w:hint="eastAsia" w:ascii="宋体" w:hAnsi="宋体"/>
                <w:szCs w:val="21"/>
              </w:rPr>
              <w:t>要求在2021年1月底完成改进</w:t>
            </w:r>
          </w:p>
        </w:tc>
        <w:tc>
          <w:tcPr>
            <w:tcW w:w="1321" w:type="dxa"/>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3" w:hRule="atLeast"/>
        </w:trPr>
        <w:tc>
          <w:tcPr>
            <w:tcW w:w="2160" w:type="dxa"/>
          </w:tcPr>
          <w:p>
            <w:pPr>
              <w:spacing w:line="280" w:lineRule="exact"/>
              <w:rPr>
                <w:rFonts w:ascii="宋体" w:hAnsi="宋体" w:cs="宋体"/>
                <w:szCs w:val="21"/>
              </w:rPr>
            </w:pPr>
            <w:r>
              <w:rPr>
                <w:rFonts w:hint="eastAsia" w:ascii="宋体" w:hAnsi="宋体" w:cs="宋体"/>
                <w:szCs w:val="21"/>
              </w:rPr>
              <w:t>总则</w:t>
            </w:r>
          </w:p>
          <w:p>
            <w:pPr>
              <w:spacing w:line="280" w:lineRule="exact"/>
              <w:rPr>
                <w:rFonts w:asciiTheme="minorEastAsia" w:hAnsiTheme="minorEastAsia" w:eastAsiaTheme="minorEastAsia" w:cstheme="minorEastAsia"/>
                <w:szCs w:val="21"/>
              </w:rPr>
            </w:pPr>
          </w:p>
        </w:tc>
        <w:tc>
          <w:tcPr>
            <w:tcW w:w="960" w:type="dxa"/>
          </w:tcPr>
          <w:p>
            <w:pPr>
              <w:spacing w:line="280" w:lineRule="exact"/>
              <w:rPr>
                <w:szCs w:val="21"/>
              </w:rPr>
            </w:pPr>
            <w:r>
              <w:rPr>
                <w:rFonts w:hint="eastAsia"/>
                <w:szCs w:val="21"/>
              </w:rPr>
              <w:t>QES 10.1</w:t>
            </w:r>
          </w:p>
          <w:p>
            <w:pPr>
              <w:spacing w:line="280" w:lineRule="exact"/>
              <w:rPr>
                <w:rFonts w:asciiTheme="minorEastAsia" w:hAnsiTheme="minorEastAsia" w:eastAsiaTheme="minorEastAsia" w:cstheme="minorEastAsia"/>
                <w:szCs w:val="21"/>
              </w:rPr>
            </w:pPr>
          </w:p>
        </w:tc>
        <w:tc>
          <w:tcPr>
            <w:tcW w:w="10268" w:type="dxa"/>
          </w:tcPr>
          <w:p>
            <w:pPr>
              <w:spacing w:line="280" w:lineRule="exact"/>
              <w:ind w:firstLine="420" w:firstLineChars="200"/>
              <w:rPr>
                <w:rFonts w:ascii="宋体" w:hAnsi="宋体" w:cs="宋体"/>
                <w:szCs w:val="21"/>
              </w:rPr>
            </w:pPr>
            <w:r>
              <w:rPr>
                <w:rFonts w:hint="eastAsia" w:ascii="宋体" w:hAnsi="宋体" w:cs="宋体"/>
                <w:szCs w:val="21"/>
              </w:rPr>
              <w:t xml:space="preserve">办公室审核证据认为公司管理体系方针、目标、内部审核、管理评审、不合格和纠正措施各项要求得到落实，相关管理活动得到有效开展，体现了持续改进的要求及改进产品和产品来满足未来的需要和期望。考虑了分析、评价结果及管理评审的输出，并确定了对存在应关注的持续改进的需求和机遇。  </w:t>
            </w:r>
          </w:p>
          <w:p>
            <w:pPr>
              <w:ind w:firstLine="420" w:firstLineChars="200"/>
              <w:rPr>
                <w:rFonts w:asciiTheme="minorEastAsia" w:hAnsiTheme="minorEastAsia" w:eastAsiaTheme="minorEastAsia" w:cstheme="minorEastAsia"/>
                <w:szCs w:val="21"/>
              </w:rPr>
            </w:pPr>
            <w:r>
              <w:rPr>
                <w:rFonts w:hint="eastAsia" w:ascii="宋体" w:hAnsi="宋体" w:cs="宋体"/>
                <w:szCs w:val="21"/>
              </w:rPr>
              <w:t xml:space="preserve"> ——具体事实可见审核10.2条款记录。</w:t>
            </w:r>
          </w:p>
        </w:tc>
        <w:tc>
          <w:tcPr>
            <w:tcW w:w="1321" w:type="dxa"/>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持续改进</w:t>
            </w:r>
          </w:p>
        </w:tc>
        <w:tc>
          <w:tcPr>
            <w:tcW w:w="960" w:type="dxa"/>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QES</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10.3</w:t>
            </w:r>
          </w:p>
        </w:tc>
        <w:tc>
          <w:tcPr>
            <w:tcW w:w="10268" w:type="dxa"/>
          </w:tcPr>
          <w:p>
            <w:pPr>
              <w:ind w:firstLine="420" w:firstLineChars="200"/>
            </w:pPr>
            <w:r>
              <w:rPr>
                <w:rFonts w:hint="eastAsia"/>
              </w:rPr>
              <w:t>公司制定了 《纠正预防措施控制程序》，公司规定了纠正措施的来源,明确了对不合格项应进行原因分析,制定纠正措施计划,实施跟踪验证,确保所采取 的纠正措施满足预期要求。对以上不合格品采取退货货处置，对其进行原因分析并采取纠正措施，经主管经理验收，有效。内审中发现的不符合项已经采取纠正措施，整改完毕且有效。</w:t>
            </w:r>
          </w:p>
          <w:p>
            <w:pPr>
              <w:ind w:firstLine="420" w:firstLineChars="200"/>
            </w:pPr>
            <w:r>
              <w:rPr>
                <w:rFonts w:hint="eastAsia"/>
              </w:rPr>
              <w:t>为确保公司提供给客户合格的产品和服务，公司开展检查和考核工作。</w:t>
            </w:r>
          </w:p>
          <w:p>
            <w:r>
              <w:rPr>
                <w:rFonts w:hint="eastAsia"/>
              </w:rPr>
              <w:t>根据不同过程、不同产品和不同要求，采取不同的方法进行监视、测量和分析。无其他不符合发生。</w:t>
            </w:r>
          </w:p>
          <w:p>
            <w:pPr>
              <w:ind w:firstLine="420" w:firstLineChars="200"/>
            </w:pPr>
            <w:r>
              <w:rPr>
                <w:rFonts w:hint="eastAsia"/>
              </w:rPr>
              <w:t>公司利用质量方针、目标、内审和外审、数据分析、纠正和预防措施以及管理评审，识别任何改进的机会，持续改进质量管理体系的适宜性、充分性和有效性。</w:t>
            </w:r>
          </w:p>
          <w:p>
            <w:pPr>
              <w:ind w:firstLine="420" w:firstLineChars="200"/>
              <w:rPr>
                <w:rFonts w:eastAsiaTheme="minorEastAsia"/>
              </w:rPr>
            </w:pPr>
            <w:r>
              <w:rPr>
                <w:rFonts w:hint="eastAsia" w:asciiTheme="minorEastAsia" w:hAnsiTheme="minorEastAsia" w:eastAsiaTheme="minorEastAsia" w:cstheme="minorEastAsia"/>
                <w:szCs w:val="21"/>
              </w:rPr>
              <w:t>通过交谈，基本能清楚纠正和预防措施的控制要求。改进的示例包括纠正、纠正措施、持续改进、创新等。</w:t>
            </w:r>
          </w:p>
        </w:tc>
        <w:tc>
          <w:tcPr>
            <w:tcW w:w="1321" w:type="dxa"/>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资质验证/</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范围再确认/</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上次问题验证/</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投诉或事故/</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政府主管部门监督抽查情况</w:t>
            </w:r>
          </w:p>
        </w:tc>
        <w:tc>
          <w:tcPr>
            <w:tcW w:w="960" w:type="dxa"/>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kern w:val="2"/>
                <w:sz w:val="24"/>
                <w:szCs w:val="24"/>
                <w:lang w:val="en-US" w:eastAsia="zh-CN" w:bidi="ar-SA"/>
              </w:rPr>
            </w:pPr>
          </w:p>
        </w:tc>
        <w:tc>
          <w:tcPr>
            <w:tcW w:w="10268"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提供企业的《营业执照》等相关资质有效</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查“国家信息网”、未见本组织任何“不良信息”；</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上次审核不符合</w:t>
            </w:r>
            <w:r>
              <w:rPr>
                <w:rFonts w:hint="eastAsia" w:ascii="宋体" w:hAnsi="宋体" w:cs="宋体"/>
                <w:sz w:val="24"/>
                <w:szCs w:val="24"/>
                <w:lang w:val="en-US" w:eastAsia="zh-CN"/>
              </w:rPr>
              <w:t>：上次审核未提出书面不符合</w:t>
            </w:r>
            <w:r>
              <w:rPr>
                <w:rFonts w:hint="eastAsia" w:ascii="宋体" w:hAnsi="宋体" w:eastAsia="宋体" w:cs="宋体"/>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kern w:val="2"/>
                <w:sz w:val="24"/>
                <w:szCs w:val="24"/>
                <w:lang w:val="en-US" w:eastAsia="zh-CN" w:bidi="ar-SA"/>
              </w:rPr>
            </w:pPr>
            <w:bookmarkStart w:id="2" w:name="_GoBack"/>
            <w:bookmarkEnd w:id="2"/>
            <w:r>
              <w:rPr>
                <w:rFonts w:hint="eastAsia" w:ascii="宋体" w:hAnsi="宋体" w:eastAsia="宋体" w:cs="宋体"/>
                <w:sz w:val="24"/>
                <w:szCs w:val="24"/>
                <w:lang w:val="en-US" w:eastAsia="zh-CN"/>
              </w:rPr>
              <w:t>近一年来本组织未受到市场监管部门的处罚；</w:t>
            </w:r>
          </w:p>
        </w:tc>
        <w:tc>
          <w:tcPr>
            <w:tcW w:w="1321" w:type="dxa"/>
          </w:tcPr>
          <w:p>
            <w:pPr>
              <w:rPr>
                <w:rFonts w:asciiTheme="minorEastAsia" w:hAnsiTheme="minorEastAsia" w:eastAsiaTheme="minorEastAsia" w:cstheme="minorEastAsia"/>
                <w:szCs w:val="21"/>
              </w:rPr>
            </w:pPr>
          </w:p>
        </w:tc>
      </w:tr>
    </w:tbl>
    <w:p>
      <w:pPr>
        <w:pStyle w:val="5"/>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Lucida Sans">
    <w:altName w:val="Lucida Sans Unicode"/>
    <w:panose1 w:val="020B0602030504020204"/>
    <w:charset w:val="00"/>
    <w:family w:val="swiss"/>
    <w:pitch w:val="default"/>
    <w:sig w:usb0="00000000" w:usb1="00000000" w:usb2="00000000" w:usb3="00000000" w:csb0="00000001" w:csb1="00000000"/>
  </w:font>
  <w:font w:name="Lucida Sans Unicode">
    <w:panose1 w:val="020B0602030504020204"/>
    <w:charset w:val="00"/>
    <w:family w:val="auto"/>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5"/>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6"/>
      <w:pBdr>
        <w:bottom w:val="none" w:color="auto" w:sz="0" w:space="1"/>
      </w:pBdr>
      <w:spacing w:line="320" w:lineRule="exact"/>
      <w:jc w:val="left"/>
    </w:pPr>
    <w:r>
      <w:pict>
        <v:shape id="文本框 1" o:spid="_x0000_s3073" o:spt="202" type="#_x0000_t202" style="position:absolute;left:0pt;margin-left:554.75pt;margin-top:2.2pt;height:20.2pt;width:172pt;z-index:251660288;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ISC-B-I-19 管理体系审核记录表(03版)</w:t>
                </w:r>
              </w:p>
            </w:txbxContent>
          </v:textbox>
        </v:shape>
      </w:pict>
    </w:r>
    <w:r>
      <w:rPr>
        <w:rStyle w:val="12"/>
        <w:rFonts w:hint="default"/>
      </w:rPr>
      <w:t xml:space="preserve">        </w:t>
    </w:r>
    <w:r>
      <w:rPr>
        <w:rStyle w:val="12"/>
        <w:rFonts w:hint="default"/>
        <w:w w:val="90"/>
      </w:rPr>
      <w:t>Beijing International Standard united Certification Co.,Ltd.</w:t>
    </w:r>
    <w:r>
      <w:rPr>
        <w:rStyle w:val="12"/>
        <w:rFonts w:hint="default"/>
        <w:w w:val="90"/>
        <w:szCs w:val="21"/>
      </w:rPr>
      <w:t xml:space="preserve">  </w:t>
    </w:r>
    <w:r>
      <w:rPr>
        <w:rStyle w:val="12"/>
        <w:rFonts w:hint="default"/>
        <w:w w:val="90"/>
        <w:sz w:val="20"/>
      </w:rPr>
      <w:t xml:space="preserve"> </w:t>
    </w:r>
    <w:r>
      <w:rPr>
        <w:rStyle w:val="12"/>
        <w:rFonts w:hint="default"/>
        <w:w w:val="90"/>
      </w:rPr>
      <w:t xml:space="preserve">                   </w:t>
    </w:r>
  </w:p>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1A606B"/>
    <w:multiLevelType w:val="singleLevel"/>
    <w:tmpl w:val="621A606B"/>
    <w:lvl w:ilvl="0" w:tentative="0">
      <w:start w:val="2"/>
      <w:numFmt w:val="decimal"/>
      <w:lvlText w:val="%1."/>
      <w:lvlJc w:val="left"/>
      <w:pPr>
        <w:tabs>
          <w:tab w:val="left" w:pos="312"/>
        </w:tabs>
      </w:pPr>
    </w:lvl>
  </w:abstractNum>
  <w:abstractNum w:abstractNumId="1">
    <w:nsid w:val="73FBC2A2"/>
    <w:multiLevelType w:val="singleLevel"/>
    <w:tmpl w:val="73FBC2A2"/>
    <w:lvl w:ilvl="0" w:tentative="0">
      <w:start w:val="1"/>
      <w:numFmt w:val="decimal"/>
      <w:suff w:val="nothing"/>
      <w:lvlText w:val="（%1）"/>
      <w:lvlJc w:val="left"/>
    </w:lvl>
  </w:abstractNum>
  <w:abstractNum w:abstractNumId="2">
    <w:nsid w:val="7AD87CA5"/>
    <w:multiLevelType w:val="multilevel"/>
    <w:tmpl w:val="7AD87CA5"/>
    <w:lvl w:ilvl="0" w:tentative="0">
      <w:start w:val="1"/>
      <w:numFmt w:val="decimal"/>
      <w:lvlText w:val="%1、"/>
      <w:lvlJc w:val="left"/>
      <w:pPr>
        <w:ind w:left="1004"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hdrShapeDefaults>
    <o:shapelayout v:ext="edit">
      <o:idmap v:ext="edit" data="2,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973B4"/>
    <w:rsid w:val="000237F6"/>
    <w:rsid w:val="0003373A"/>
    <w:rsid w:val="000D79F9"/>
    <w:rsid w:val="000E4A90"/>
    <w:rsid w:val="00101E94"/>
    <w:rsid w:val="00143110"/>
    <w:rsid w:val="001A2D7F"/>
    <w:rsid w:val="001F4908"/>
    <w:rsid w:val="002260A7"/>
    <w:rsid w:val="0023631C"/>
    <w:rsid w:val="002906E4"/>
    <w:rsid w:val="0029258E"/>
    <w:rsid w:val="00332DA1"/>
    <w:rsid w:val="00337922"/>
    <w:rsid w:val="00340867"/>
    <w:rsid w:val="00380837"/>
    <w:rsid w:val="003A198A"/>
    <w:rsid w:val="00410914"/>
    <w:rsid w:val="004216EC"/>
    <w:rsid w:val="004D7B08"/>
    <w:rsid w:val="005106AD"/>
    <w:rsid w:val="00525A06"/>
    <w:rsid w:val="00536930"/>
    <w:rsid w:val="00564E53"/>
    <w:rsid w:val="0056514A"/>
    <w:rsid w:val="005D57E6"/>
    <w:rsid w:val="00644FE2"/>
    <w:rsid w:val="00673FD2"/>
    <w:rsid w:val="0067640C"/>
    <w:rsid w:val="006E678B"/>
    <w:rsid w:val="006F4DC2"/>
    <w:rsid w:val="007757F3"/>
    <w:rsid w:val="007E6AEB"/>
    <w:rsid w:val="00851DA6"/>
    <w:rsid w:val="00877896"/>
    <w:rsid w:val="008973EE"/>
    <w:rsid w:val="008D0EBE"/>
    <w:rsid w:val="008D27E1"/>
    <w:rsid w:val="00950C6A"/>
    <w:rsid w:val="00971600"/>
    <w:rsid w:val="009973B4"/>
    <w:rsid w:val="009B6960"/>
    <w:rsid w:val="009C28C1"/>
    <w:rsid w:val="009C4A2E"/>
    <w:rsid w:val="009F7EED"/>
    <w:rsid w:val="00A0798D"/>
    <w:rsid w:val="00A61CA2"/>
    <w:rsid w:val="00A84EB6"/>
    <w:rsid w:val="00AF0AAB"/>
    <w:rsid w:val="00BE5779"/>
    <w:rsid w:val="00BF597E"/>
    <w:rsid w:val="00C347DC"/>
    <w:rsid w:val="00C51A36"/>
    <w:rsid w:val="00C55228"/>
    <w:rsid w:val="00C77D06"/>
    <w:rsid w:val="00CB3F69"/>
    <w:rsid w:val="00CE315A"/>
    <w:rsid w:val="00D069B2"/>
    <w:rsid w:val="00D06F59"/>
    <w:rsid w:val="00D07B49"/>
    <w:rsid w:val="00D525CA"/>
    <w:rsid w:val="00D8388C"/>
    <w:rsid w:val="00DA458E"/>
    <w:rsid w:val="00DE6C09"/>
    <w:rsid w:val="00DF08E9"/>
    <w:rsid w:val="00DF156D"/>
    <w:rsid w:val="00E46105"/>
    <w:rsid w:val="00E60A5C"/>
    <w:rsid w:val="00E808C0"/>
    <w:rsid w:val="00EB0164"/>
    <w:rsid w:val="00EC5590"/>
    <w:rsid w:val="00ED0F62"/>
    <w:rsid w:val="00EF58E8"/>
    <w:rsid w:val="00F3091C"/>
    <w:rsid w:val="00F838C8"/>
    <w:rsid w:val="013373E3"/>
    <w:rsid w:val="01577D76"/>
    <w:rsid w:val="018B0ABE"/>
    <w:rsid w:val="02BA0640"/>
    <w:rsid w:val="02D300F8"/>
    <w:rsid w:val="03272194"/>
    <w:rsid w:val="038A04FA"/>
    <w:rsid w:val="03FD4D0A"/>
    <w:rsid w:val="04722762"/>
    <w:rsid w:val="04803A86"/>
    <w:rsid w:val="04FA0FAF"/>
    <w:rsid w:val="053143BF"/>
    <w:rsid w:val="055B6B99"/>
    <w:rsid w:val="060C75DC"/>
    <w:rsid w:val="06123E54"/>
    <w:rsid w:val="06427C24"/>
    <w:rsid w:val="06856793"/>
    <w:rsid w:val="06BC433D"/>
    <w:rsid w:val="07174281"/>
    <w:rsid w:val="07470AAF"/>
    <w:rsid w:val="084960B7"/>
    <w:rsid w:val="08593B62"/>
    <w:rsid w:val="088B504C"/>
    <w:rsid w:val="08B77779"/>
    <w:rsid w:val="08D97406"/>
    <w:rsid w:val="08E150B6"/>
    <w:rsid w:val="0A135F08"/>
    <w:rsid w:val="0A9549D1"/>
    <w:rsid w:val="0AE87D2F"/>
    <w:rsid w:val="0AEB31AF"/>
    <w:rsid w:val="0AFD6034"/>
    <w:rsid w:val="0B38319E"/>
    <w:rsid w:val="0B917DA9"/>
    <w:rsid w:val="0BE81532"/>
    <w:rsid w:val="0BF26A3C"/>
    <w:rsid w:val="0C1C7640"/>
    <w:rsid w:val="0C456873"/>
    <w:rsid w:val="0D0211BD"/>
    <w:rsid w:val="0D1E3FA1"/>
    <w:rsid w:val="0DD9388E"/>
    <w:rsid w:val="0DFD3E14"/>
    <w:rsid w:val="0E2D563A"/>
    <w:rsid w:val="0E5046A5"/>
    <w:rsid w:val="0E55744C"/>
    <w:rsid w:val="0E5B240D"/>
    <w:rsid w:val="0E654E0D"/>
    <w:rsid w:val="0E7204D0"/>
    <w:rsid w:val="0EF02F5B"/>
    <w:rsid w:val="0F2748BE"/>
    <w:rsid w:val="0F2E4FC9"/>
    <w:rsid w:val="0FA03670"/>
    <w:rsid w:val="0FB5497A"/>
    <w:rsid w:val="0FD40909"/>
    <w:rsid w:val="0FD46017"/>
    <w:rsid w:val="0FFB1FCF"/>
    <w:rsid w:val="10196C29"/>
    <w:rsid w:val="106C3D7A"/>
    <w:rsid w:val="107951D6"/>
    <w:rsid w:val="108219C2"/>
    <w:rsid w:val="10C731A1"/>
    <w:rsid w:val="10DF4410"/>
    <w:rsid w:val="110E2CCA"/>
    <w:rsid w:val="119C05DB"/>
    <w:rsid w:val="12230918"/>
    <w:rsid w:val="12334F4F"/>
    <w:rsid w:val="12440A11"/>
    <w:rsid w:val="125618D3"/>
    <w:rsid w:val="12DE7EB8"/>
    <w:rsid w:val="12E113C5"/>
    <w:rsid w:val="13454832"/>
    <w:rsid w:val="13C82B7E"/>
    <w:rsid w:val="143150C6"/>
    <w:rsid w:val="14B8288B"/>
    <w:rsid w:val="14F568CD"/>
    <w:rsid w:val="15476D81"/>
    <w:rsid w:val="16412126"/>
    <w:rsid w:val="166D6B2A"/>
    <w:rsid w:val="16A20015"/>
    <w:rsid w:val="16FB51F9"/>
    <w:rsid w:val="17343360"/>
    <w:rsid w:val="176A6D4E"/>
    <w:rsid w:val="17991C03"/>
    <w:rsid w:val="17C866C5"/>
    <w:rsid w:val="17F14637"/>
    <w:rsid w:val="18685763"/>
    <w:rsid w:val="188C43E4"/>
    <w:rsid w:val="188D65FC"/>
    <w:rsid w:val="18BE5DA1"/>
    <w:rsid w:val="18D22BEA"/>
    <w:rsid w:val="194E4A54"/>
    <w:rsid w:val="1A18659F"/>
    <w:rsid w:val="1A2B03CA"/>
    <w:rsid w:val="1A771308"/>
    <w:rsid w:val="1A9B4EDD"/>
    <w:rsid w:val="1B0155EB"/>
    <w:rsid w:val="1B3A694C"/>
    <w:rsid w:val="1BCD761F"/>
    <w:rsid w:val="1C094AA1"/>
    <w:rsid w:val="1C302F4C"/>
    <w:rsid w:val="1C9E3013"/>
    <w:rsid w:val="1CA452D2"/>
    <w:rsid w:val="1CD22F6E"/>
    <w:rsid w:val="1D343375"/>
    <w:rsid w:val="1DAB30E7"/>
    <w:rsid w:val="1DF67D75"/>
    <w:rsid w:val="1E24572A"/>
    <w:rsid w:val="1E361FF7"/>
    <w:rsid w:val="1E5B51CB"/>
    <w:rsid w:val="1EAB01E9"/>
    <w:rsid w:val="1F2F03BB"/>
    <w:rsid w:val="1F514C82"/>
    <w:rsid w:val="1F870BDE"/>
    <w:rsid w:val="1F945AE2"/>
    <w:rsid w:val="1FF13BB0"/>
    <w:rsid w:val="1FF91DAF"/>
    <w:rsid w:val="20754670"/>
    <w:rsid w:val="21E62A1D"/>
    <w:rsid w:val="22BC3473"/>
    <w:rsid w:val="231461AC"/>
    <w:rsid w:val="23290A6B"/>
    <w:rsid w:val="23727D69"/>
    <w:rsid w:val="241A5EE7"/>
    <w:rsid w:val="241D44B3"/>
    <w:rsid w:val="2525434A"/>
    <w:rsid w:val="25D014D1"/>
    <w:rsid w:val="25D50A0B"/>
    <w:rsid w:val="25DA71A5"/>
    <w:rsid w:val="25DC2E34"/>
    <w:rsid w:val="272A6ACB"/>
    <w:rsid w:val="273541B8"/>
    <w:rsid w:val="277126D5"/>
    <w:rsid w:val="27D72F75"/>
    <w:rsid w:val="28C95AE7"/>
    <w:rsid w:val="28E64D20"/>
    <w:rsid w:val="295F5D59"/>
    <w:rsid w:val="29AC369F"/>
    <w:rsid w:val="29FE3F11"/>
    <w:rsid w:val="2A19403D"/>
    <w:rsid w:val="2A30730A"/>
    <w:rsid w:val="2A633B20"/>
    <w:rsid w:val="2A9D1010"/>
    <w:rsid w:val="2AC20A98"/>
    <w:rsid w:val="2C3209F9"/>
    <w:rsid w:val="2C770874"/>
    <w:rsid w:val="2CFF41B5"/>
    <w:rsid w:val="2D2E18F5"/>
    <w:rsid w:val="2D75272B"/>
    <w:rsid w:val="2DD070E2"/>
    <w:rsid w:val="2DD74EB3"/>
    <w:rsid w:val="2E051E75"/>
    <w:rsid w:val="2E4D0213"/>
    <w:rsid w:val="2E907020"/>
    <w:rsid w:val="2E9B5AFD"/>
    <w:rsid w:val="2FD112BF"/>
    <w:rsid w:val="2FE510F0"/>
    <w:rsid w:val="305A3D54"/>
    <w:rsid w:val="30746101"/>
    <w:rsid w:val="309346CB"/>
    <w:rsid w:val="30B96BF2"/>
    <w:rsid w:val="30CB41EB"/>
    <w:rsid w:val="31062113"/>
    <w:rsid w:val="312818C9"/>
    <w:rsid w:val="314263EA"/>
    <w:rsid w:val="322450A5"/>
    <w:rsid w:val="32944EFE"/>
    <w:rsid w:val="32A679F6"/>
    <w:rsid w:val="33106924"/>
    <w:rsid w:val="334C71FD"/>
    <w:rsid w:val="335511B0"/>
    <w:rsid w:val="33B364C6"/>
    <w:rsid w:val="33B36AD1"/>
    <w:rsid w:val="33D44CDF"/>
    <w:rsid w:val="34665F98"/>
    <w:rsid w:val="34743101"/>
    <w:rsid w:val="34CD4C03"/>
    <w:rsid w:val="34DD1682"/>
    <w:rsid w:val="35553395"/>
    <w:rsid w:val="35A51C80"/>
    <w:rsid w:val="35FF6972"/>
    <w:rsid w:val="36AF07DA"/>
    <w:rsid w:val="36B77F10"/>
    <w:rsid w:val="36EC38AB"/>
    <w:rsid w:val="370F5560"/>
    <w:rsid w:val="376B2D20"/>
    <w:rsid w:val="387434C2"/>
    <w:rsid w:val="39580A6B"/>
    <w:rsid w:val="39C028FA"/>
    <w:rsid w:val="39C86C02"/>
    <w:rsid w:val="39EE1F9C"/>
    <w:rsid w:val="3A9B464B"/>
    <w:rsid w:val="3AF919F1"/>
    <w:rsid w:val="3BD21263"/>
    <w:rsid w:val="3C1D1282"/>
    <w:rsid w:val="3CAC75F0"/>
    <w:rsid w:val="3CD944DE"/>
    <w:rsid w:val="3D6320CE"/>
    <w:rsid w:val="3E701E62"/>
    <w:rsid w:val="3EFD7E0A"/>
    <w:rsid w:val="3F3C574F"/>
    <w:rsid w:val="3F9546D2"/>
    <w:rsid w:val="3FDC57DB"/>
    <w:rsid w:val="40525BD7"/>
    <w:rsid w:val="4064142F"/>
    <w:rsid w:val="407610B0"/>
    <w:rsid w:val="40D5352E"/>
    <w:rsid w:val="411309B9"/>
    <w:rsid w:val="4115572E"/>
    <w:rsid w:val="41DB0DC9"/>
    <w:rsid w:val="426B4490"/>
    <w:rsid w:val="42FD75E4"/>
    <w:rsid w:val="43103FFC"/>
    <w:rsid w:val="43AA0A0F"/>
    <w:rsid w:val="43B638A8"/>
    <w:rsid w:val="43D078D9"/>
    <w:rsid w:val="440204EF"/>
    <w:rsid w:val="44491C9F"/>
    <w:rsid w:val="44F42F81"/>
    <w:rsid w:val="44F65B90"/>
    <w:rsid w:val="45964A16"/>
    <w:rsid w:val="45A93577"/>
    <w:rsid w:val="460B6168"/>
    <w:rsid w:val="460C77CD"/>
    <w:rsid w:val="46215845"/>
    <w:rsid w:val="470B69F1"/>
    <w:rsid w:val="471237F4"/>
    <w:rsid w:val="472B3B46"/>
    <w:rsid w:val="47BA508C"/>
    <w:rsid w:val="480C1728"/>
    <w:rsid w:val="48136A5A"/>
    <w:rsid w:val="48283278"/>
    <w:rsid w:val="487D4964"/>
    <w:rsid w:val="48967E44"/>
    <w:rsid w:val="48B92095"/>
    <w:rsid w:val="493F7F99"/>
    <w:rsid w:val="49903029"/>
    <w:rsid w:val="49A30D2B"/>
    <w:rsid w:val="49C060BB"/>
    <w:rsid w:val="49E131D7"/>
    <w:rsid w:val="49EE5BDA"/>
    <w:rsid w:val="4A9B41EB"/>
    <w:rsid w:val="4B1C57C6"/>
    <w:rsid w:val="4B392AE0"/>
    <w:rsid w:val="4B743142"/>
    <w:rsid w:val="4C072D68"/>
    <w:rsid w:val="4C3808F1"/>
    <w:rsid w:val="4C614AD4"/>
    <w:rsid w:val="4C7267DC"/>
    <w:rsid w:val="4C8C67E8"/>
    <w:rsid w:val="4C9F4133"/>
    <w:rsid w:val="4D0C0541"/>
    <w:rsid w:val="4DB917AE"/>
    <w:rsid w:val="4E0A60BA"/>
    <w:rsid w:val="4E413F86"/>
    <w:rsid w:val="4E923C74"/>
    <w:rsid w:val="4EE728B8"/>
    <w:rsid w:val="4F2C2253"/>
    <w:rsid w:val="5065704F"/>
    <w:rsid w:val="50D73F93"/>
    <w:rsid w:val="513959E3"/>
    <w:rsid w:val="516E51BD"/>
    <w:rsid w:val="51B92AB6"/>
    <w:rsid w:val="51C754F9"/>
    <w:rsid w:val="51CD3CB1"/>
    <w:rsid w:val="51F72E6B"/>
    <w:rsid w:val="520523E7"/>
    <w:rsid w:val="52262A2F"/>
    <w:rsid w:val="528C3F6E"/>
    <w:rsid w:val="53287D69"/>
    <w:rsid w:val="533734D8"/>
    <w:rsid w:val="53944D1D"/>
    <w:rsid w:val="539B1291"/>
    <w:rsid w:val="53AD76B6"/>
    <w:rsid w:val="53B41C72"/>
    <w:rsid w:val="54B7549E"/>
    <w:rsid w:val="55387B39"/>
    <w:rsid w:val="554D4FBF"/>
    <w:rsid w:val="55792DD4"/>
    <w:rsid w:val="558D3AF9"/>
    <w:rsid w:val="55965BF0"/>
    <w:rsid w:val="55C97C15"/>
    <w:rsid w:val="56613A79"/>
    <w:rsid w:val="57005A6D"/>
    <w:rsid w:val="571730AC"/>
    <w:rsid w:val="577E1149"/>
    <w:rsid w:val="579C2E8E"/>
    <w:rsid w:val="57CA7D0F"/>
    <w:rsid w:val="5806584D"/>
    <w:rsid w:val="587D17D5"/>
    <w:rsid w:val="588B5EAB"/>
    <w:rsid w:val="58915024"/>
    <w:rsid w:val="58CC5982"/>
    <w:rsid w:val="590C14A2"/>
    <w:rsid w:val="59116735"/>
    <w:rsid w:val="593A435B"/>
    <w:rsid w:val="594C0C2F"/>
    <w:rsid w:val="5A6C2BF2"/>
    <w:rsid w:val="5A9540B2"/>
    <w:rsid w:val="5B1B4E84"/>
    <w:rsid w:val="5B524555"/>
    <w:rsid w:val="5BA973EE"/>
    <w:rsid w:val="5C274062"/>
    <w:rsid w:val="5C3F4A86"/>
    <w:rsid w:val="5C7D7BE7"/>
    <w:rsid w:val="5CF00F25"/>
    <w:rsid w:val="5D267E59"/>
    <w:rsid w:val="5D2E4CC6"/>
    <w:rsid w:val="5D3A164A"/>
    <w:rsid w:val="5DEB5C3E"/>
    <w:rsid w:val="5E307504"/>
    <w:rsid w:val="5EA12B9A"/>
    <w:rsid w:val="5ED1197A"/>
    <w:rsid w:val="5ED75032"/>
    <w:rsid w:val="5F814A33"/>
    <w:rsid w:val="60312B28"/>
    <w:rsid w:val="607F45D1"/>
    <w:rsid w:val="6081112F"/>
    <w:rsid w:val="60A86088"/>
    <w:rsid w:val="60B30765"/>
    <w:rsid w:val="617522C3"/>
    <w:rsid w:val="61985A25"/>
    <w:rsid w:val="61F815C2"/>
    <w:rsid w:val="62CD555C"/>
    <w:rsid w:val="62DE5890"/>
    <w:rsid w:val="63183885"/>
    <w:rsid w:val="63362C99"/>
    <w:rsid w:val="634675F0"/>
    <w:rsid w:val="635F3271"/>
    <w:rsid w:val="636964F6"/>
    <w:rsid w:val="640D2A14"/>
    <w:rsid w:val="640F7FDD"/>
    <w:rsid w:val="645F57DF"/>
    <w:rsid w:val="65316AA8"/>
    <w:rsid w:val="65AF120F"/>
    <w:rsid w:val="65CF6A99"/>
    <w:rsid w:val="66420646"/>
    <w:rsid w:val="66643589"/>
    <w:rsid w:val="669011EB"/>
    <w:rsid w:val="675419DC"/>
    <w:rsid w:val="6776476B"/>
    <w:rsid w:val="67BB3C94"/>
    <w:rsid w:val="67C81214"/>
    <w:rsid w:val="693164A2"/>
    <w:rsid w:val="693951EA"/>
    <w:rsid w:val="69450752"/>
    <w:rsid w:val="694F2F68"/>
    <w:rsid w:val="697E643A"/>
    <w:rsid w:val="69861143"/>
    <w:rsid w:val="69EE1762"/>
    <w:rsid w:val="69F7015F"/>
    <w:rsid w:val="69F714CB"/>
    <w:rsid w:val="6B4954E7"/>
    <w:rsid w:val="6C5622B6"/>
    <w:rsid w:val="6C92442F"/>
    <w:rsid w:val="6D69457C"/>
    <w:rsid w:val="6D9D4935"/>
    <w:rsid w:val="6DCD03AA"/>
    <w:rsid w:val="6E6877BF"/>
    <w:rsid w:val="6F2177E7"/>
    <w:rsid w:val="6F384391"/>
    <w:rsid w:val="6F78467B"/>
    <w:rsid w:val="70126089"/>
    <w:rsid w:val="70964F89"/>
    <w:rsid w:val="70A0757A"/>
    <w:rsid w:val="70B95DE1"/>
    <w:rsid w:val="714B4FF4"/>
    <w:rsid w:val="71AD7E82"/>
    <w:rsid w:val="721B7C4A"/>
    <w:rsid w:val="732C5EC4"/>
    <w:rsid w:val="73E5423B"/>
    <w:rsid w:val="73ED2CF6"/>
    <w:rsid w:val="742D4BCD"/>
    <w:rsid w:val="74985060"/>
    <w:rsid w:val="74FC19CE"/>
    <w:rsid w:val="75B96382"/>
    <w:rsid w:val="75E8184B"/>
    <w:rsid w:val="7659095C"/>
    <w:rsid w:val="76EB07E4"/>
    <w:rsid w:val="7730063A"/>
    <w:rsid w:val="77603E7E"/>
    <w:rsid w:val="77ED5CE2"/>
    <w:rsid w:val="781F0939"/>
    <w:rsid w:val="786F79A5"/>
    <w:rsid w:val="787A09AC"/>
    <w:rsid w:val="7AB26C31"/>
    <w:rsid w:val="7B4F72D2"/>
    <w:rsid w:val="7B58503B"/>
    <w:rsid w:val="7C792048"/>
    <w:rsid w:val="7C7F71FF"/>
    <w:rsid w:val="7C9776BE"/>
    <w:rsid w:val="7C983E16"/>
    <w:rsid w:val="7CAF1D62"/>
    <w:rsid w:val="7CC46E61"/>
    <w:rsid w:val="7D32729A"/>
    <w:rsid w:val="7D411C00"/>
    <w:rsid w:val="7D5C11C5"/>
    <w:rsid w:val="7D872B6C"/>
    <w:rsid w:val="7E5A30B6"/>
    <w:rsid w:val="7E6106A3"/>
    <w:rsid w:val="7EF86B4D"/>
    <w:rsid w:val="7F130166"/>
    <w:rsid w:val="7F2B515C"/>
    <w:rsid w:val="7F4135AE"/>
    <w:rsid w:val="7F8B79D4"/>
    <w:rsid w:val="7FC86E0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Plain Text"/>
    <w:basedOn w:val="1"/>
    <w:qFormat/>
    <w:uiPriority w:val="0"/>
    <w:rPr>
      <w:rFonts w:hint="eastAsia" w:ascii="宋体" w:hAnsi="Courier New" w:cs="Courier New"/>
      <w:szCs w:val="21"/>
    </w:rPr>
  </w:style>
  <w:style w:type="paragraph" w:styleId="4">
    <w:name w:val="Balloon Text"/>
    <w:basedOn w:val="1"/>
    <w:link w:val="11"/>
    <w:semiHidden/>
    <w:unhideWhenUsed/>
    <w:qFormat/>
    <w:uiPriority w:val="99"/>
    <w:rPr>
      <w:sz w:val="18"/>
      <w:szCs w:val="18"/>
    </w:rPr>
  </w:style>
  <w:style w:type="paragraph" w:styleId="5">
    <w:name w:val="footer"/>
    <w:basedOn w:val="1"/>
    <w:link w:val="10"/>
    <w:unhideWhenUsed/>
    <w:qFormat/>
    <w:uiPriority w:val="99"/>
    <w:pPr>
      <w:tabs>
        <w:tab w:val="center" w:pos="4153"/>
        <w:tab w:val="right" w:pos="8306"/>
      </w:tabs>
      <w:snapToGrid w:val="0"/>
      <w:jc w:val="left"/>
    </w:pPr>
    <w:rPr>
      <w:sz w:val="18"/>
      <w:szCs w:val="18"/>
    </w:rPr>
  </w:style>
  <w:style w:type="paragraph" w:styleId="6">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qFormat/>
    <w:uiPriority w:val="99"/>
    <w:rPr>
      <w:rFonts w:ascii="Times New Roman" w:hAnsi="Times New Roman" w:eastAsia="宋体" w:cs="Times New Roman"/>
      <w:sz w:val="18"/>
      <w:szCs w:val="18"/>
    </w:rPr>
  </w:style>
  <w:style w:type="character" w:customStyle="1" w:styleId="10">
    <w:name w:val="页脚 Char"/>
    <w:basedOn w:val="8"/>
    <w:link w:val="5"/>
    <w:qFormat/>
    <w:uiPriority w:val="99"/>
    <w:rPr>
      <w:rFonts w:ascii="Times New Roman" w:hAnsi="Times New Roman" w:eastAsia="宋体" w:cs="Times New Roman"/>
      <w:sz w:val="18"/>
      <w:szCs w:val="18"/>
    </w:rPr>
  </w:style>
  <w:style w:type="character" w:customStyle="1" w:styleId="11">
    <w:name w:val="批注框文本 Char"/>
    <w:basedOn w:val="8"/>
    <w:link w:val="4"/>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1240</Words>
  <Characters>7073</Characters>
  <Lines>58</Lines>
  <Paragraphs>16</Paragraphs>
  <TotalTime>0</TotalTime>
  <ScaleCrop>false</ScaleCrop>
  <LinksUpToDate>false</LinksUpToDate>
  <CharactersWithSpaces>8297</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叶子</cp:lastModifiedBy>
  <dcterms:modified xsi:type="dcterms:W3CDTF">2021-06-22T14:01:43Z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C6574D93148844868597394753319619</vt:lpwstr>
  </property>
</Properties>
</file>