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eastAsia="zh-CN"/>
              </w:rPr>
              <w:t>：</w:t>
            </w:r>
            <w:r>
              <w:rPr>
                <w:rFonts w:hint="eastAsia"/>
              </w:rPr>
              <w:t>翁方强</w:t>
            </w:r>
            <w:r>
              <w:rPr>
                <w:rFonts w:hint="eastAsia" w:asciiTheme="minorEastAsia" w:hAnsiTheme="minorEastAsia" w:eastAsiaTheme="minorEastAsia" w:cstheme="minorEastAsia"/>
                <w:szCs w:val="21"/>
              </w:rPr>
              <w:t xml:space="preserve">  管代 </w:t>
            </w:r>
            <w:r>
              <w:rPr>
                <w:rFonts w:hint="eastAsia"/>
              </w:rPr>
              <w:t>冯俊</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陪同人员：</w:t>
            </w:r>
            <w:r>
              <w:rPr>
                <w:rFonts w:hint="eastAsia"/>
              </w:rPr>
              <w:t>吴家林</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夏爱俭       </w:t>
            </w:r>
            <w:r>
              <w:rPr>
                <w:rFonts w:hint="eastAsia"/>
                <w:sz w:val="24"/>
                <w:szCs w:val="24"/>
              </w:rPr>
              <w:t>审核时间：</w:t>
            </w:r>
            <w:r>
              <w:rPr>
                <w:rFonts w:hint="eastAsia"/>
                <w:sz w:val="24"/>
                <w:szCs w:val="24"/>
                <w:lang w:val="en-US" w:eastAsia="zh-CN"/>
              </w:rPr>
              <w:t>2021年06月01日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r>
              <w:t xml:space="preserve">Q:4.1/4.2/4.3/4.4/5.1/5.2/5.3/6.1/6.2/6.3/7.1.1/9.1.1/9.3/10.1/10.3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理解组织及其环境</w:t>
            </w:r>
          </w:p>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总要求</w:t>
            </w:r>
          </w:p>
        </w:tc>
        <w:tc>
          <w:tcPr>
            <w:tcW w:w="960" w:type="dxa"/>
            <w:vAlign w:val="top"/>
          </w:tcPr>
          <w:p>
            <w:pPr>
              <w:spacing w:line="280" w:lineRule="exact"/>
              <w:rPr>
                <w:rFonts w:ascii="宋体" w:hAnsi="宋体" w:cs="宋体"/>
                <w:szCs w:val="21"/>
              </w:rPr>
            </w:pPr>
            <w:r>
              <w:rPr>
                <w:rFonts w:hint="eastAsia" w:ascii="宋体" w:hAnsi="宋体" w:cs="宋体"/>
                <w:szCs w:val="21"/>
              </w:rPr>
              <w:t>Q4.1</w:t>
            </w:r>
          </w:p>
          <w:p>
            <w:pPr>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现场询问总经理</w:t>
            </w:r>
            <w:r>
              <w:rPr>
                <w:rFonts w:hint="eastAsia"/>
                <w:color w:val="auto"/>
                <w:lang w:val="en-US" w:eastAsia="zh-CN"/>
              </w:rPr>
              <w:t>翁方强</w:t>
            </w:r>
            <w:r>
              <w:rPr>
                <w:rFonts w:hint="eastAsia" w:asciiTheme="minorEastAsia" w:hAnsiTheme="minorEastAsia" w:eastAsiaTheme="minorEastAsia" w:cstheme="minorEastAsia"/>
                <w:color w:val="auto"/>
                <w:szCs w:val="21"/>
              </w:rPr>
              <w:t>，公</w:t>
            </w:r>
            <w:r>
              <w:rPr>
                <w:rFonts w:hint="eastAsia" w:asciiTheme="minorEastAsia" w:hAnsiTheme="minorEastAsia" w:eastAsiaTheme="minorEastAsia" w:cstheme="minorEastAsia"/>
                <w:szCs w:val="21"/>
              </w:rPr>
              <w:t>司确定了与本公司质量目标和战略方向相关并影响实现质量</w:t>
            </w:r>
            <w:r>
              <w:rPr>
                <w:rFonts w:hint="eastAsia" w:asciiTheme="minorEastAsia" w:hAnsiTheme="minorEastAsia" w:eastAsiaTheme="minorEastAsia" w:cstheme="minorEastAsia"/>
                <w:szCs w:val="21"/>
                <w:lang w:val="en-US" w:eastAsia="zh-CN"/>
              </w:rPr>
              <w:t>管理</w:t>
            </w:r>
            <w:r>
              <w:rPr>
                <w:rFonts w:hint="eastAsia" w:asciiTheme="minorEastAsia" w:hAnsiTheme="minorEastAsia" w:eastAsiaTheme="minorEastAsia" w:cstheme="minorEastAsia"/>
                <w:szCs w:val="21"/>
              </w:rPr>
              <w:t>体系预期结果的各种因素，包括：</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--外部的文化、社会、政治、法律、</w:t>
            </w:r>
            <w:r>
              <w:rPr>
                <w:rFonts w:hint="eastAsia" w:asciiTheme="minorEastAsia" w:hAnsiTheme="minorEastAsia" w:eastAsiaTheme="minorEastAsia" w:cstheme="minorEastAsia"/>
                <w:szCs w:val="21"/>
                <w:lang w:val="en-US" w:eastAsia="zh-CN"/>
              </w:rPr>
              <w:t>环境的</w:t>
            </w:r>
            <w:r>
              <w:rPr>
                <w:rFonts w:hint="eastAsia" w:asciiTheme="minorEastAsia" w:hAnsiTheme="minorEastAsia" w:eastAsiaTheme="minorEastAsia" w:cstheme="minorEastAsia"/>
                <w:szCs w:val="21"/>
              </w:rPr>
              <w:t>监管、</w:t>
            </w:r>
            <w:r>
              <w:rPr>
                <w:rFonts w:hint="eastAsia" w:asciiTheme="minorEastAsia" w:hAnsiTheme="minorEastAsia" w:eastAsiaTheme="minorEastAsia" w:cstheme="minorEastAsia"/>
                <w:szCs w:val="21"/>
                <w:lang w:val="en-US" w:eastAsia="zh-CN"/>
              </w:rPr>
              <w:t>安全的监管、</w:t>
            </w:r>
            <w:r>
              <w:rPr>
                <w:rFonts w:hint="eastAsia" w:asciiTheme="minorEastAsia" w:hAnsiTheme="minorEastAsia" w:eastAsiaTheme="minorEastAsia" w:cstheme="minorEastAsia"/>
                <w:szCs w:val="21"/>
              </w:rPr>
              <w:t>财务、技术、经济、自然以及竞争环境，包括国际的、国内的、区域的和地方的；</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--组织内部特征或条件，例如：其活动、产品和服务、战略方向、文化与能力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环境污染、意外伤害等</w:t>
            </w:r>
            <w:r>
              <w:rPr>
                <w:rFonts w:hint="eastAsia" w:asciiTheme="minorEastAsia" w:hAnsiTheme="minorEastAsia" w:eastAsiaTheme="minorEastAsia" w:cstheme="minorEastAsia"/>
                <w:szCs w:val="21"/>
              </w:rPr>
              <w:t>.</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--国际、国内、区域和当地的各种法律法规、竞争、市场和经济方面因素；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--公司和员工的文化、价值观、知识、绩效等因素；</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提供了《组织内外部环境因素识别表》：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内部环境：资源因素－公司提供符合上述产品生</w:t>
            </w:r>
            <w:r>
              <w:rPr>
                <w:rFonts w:hint="eastAsia" w:asciiTheme="minorEastAsia" w:hAnsiTheme="minorEastAsia" w:eastAsiaTheme="minorEastAsia" w:cstheme="minorEastAsia"/>
                <w:kern w:val="0"/>
                <w:szCs w:val="21"/>
              </w:rPr>
              <w:t>产</w:t>
            </w:r>
            <w:r>
              <w:rPr>
                <w:rFonts w:hint="eastAsia" w:asciiTheme="minorEastAsia" w:hAnsiTheme="minorEastAsia" w:eastAsiaTheme="minorEastAsia" w:cstheme="minorEastAsia"/>
                <w:szCs w:val="21"/>
              </w:rPr>
              <w:t>服务的场所，配备适宜的硬件和软件设施设备。</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信息来源：设施设备台账</w:t>
            </w:r>
          </w:p>
          <w:p>
            <w:pPr>
              <w:rPr>
                <w:rFonts w:hint="eastAsia" w:eastAsia="宋体"/>
                <w:lang w:eastAsia="zh-CN"/>
              </w:rPr>
            </w:pPr>
            <w:r>
              <w:rPr>
                <w:rFonts w:hint="eastAsia" w:ascii="宋体" w:hAnsi="宋体"/>
                <w:szCs w:val="21"/>
              </w:rPr>
              <w:t>城市园林绿化服务</w:t>
            </w:r>
            <w:r>
              <w:rPr>
                <w:rFonts w:hint="eastAsia"/>
              </w:rPr>
              <w:t>设备有：铁锹、铁镐、手据、园艺剪、割草机、粗枝剪、打草</w:t>
            </w:r>
            <w:r>
              <w:rPr>
                <w:rFonts w:hint="eastAsia" w:ascii="Times New Roman" w:hAnsi="Times New Roman" w:eastAsia="宋体" w:cs="Times New Roman"/>
              </w:rPr>
              <w:t>机</w:t>
            </w:r>
            <w:r>
              <w:rPr>
                <w:rFonts w:hint="eastAsia" w:ascii="Times New Roman" w:hAnsi="Times New Roman" w:eastAsia="宋体" w:cs="Times New Roman"/>
                <w:lang w:eastAsia="zh-CN"/>
              </w:rPr>
              <w:t>、</w:t>
            </w:r>
            <w:r>
              <w:rPr>
                <w:rFonts w:hint="eastAsia" w:ascii="Times New Roman" w:hAnsi="Times New Roman" w:eastAsia="宋体" w:cs="Times New Roman"/>
              </w:rPr>
              <w:t>旋耕机</w:t>
            </w:r>
          </w:p>
          <w:p>
            <w:pPr>
              <w:rPr>
                <w:rFonts w:cs="Lucida Sans"/>
                <w:b/>
              </w:rPr>
            </w:pPr>
            <w:r>
              <w:rPr>
                <w:rFonts w:hint="eastAsia" w:ascii="Times New Roman" w:hAnsi="Times New Roman" w:eastAsia="宋体" w:cs="Times New Roman"/>
              </w:rPr>
              <w:t>办公设备:电脑/打印机/传真机/电话等。提</w:t>
            </w:r>
            <w:r>
              <w:rPr>
                <w:rFonts w:hint="eastAsia" w:cs="Lucida Sans"/>
                <w:b w:val="0"/>
                <w:bCs w:val="0"/>
              </w:rPr>
              <w:t>供维修保养计划及记录，满足要求。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基本的质量控制要求－SWOT分析：</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公司管理层已确定了外部和内部因素，已经对经营环境、内外部环境进行分析并提出对策，并进行了监视和评审。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理解相关方的需求和期望</w:t>
            </w:r>
          </w:p>
        </w:tc>
        <w:tc>
          <w:tcPr>
            <w:tcW w:w="960" w:type="dxa"/>
            <w:vAlign w:val="top"/>
          </w:tcPr>
          <w:p>
            <w:pPr>
              <w:spacing w:line="280" w:lineRule="exact"/>
              <w:rPr>
                <w:rFonts w:ascii="宋体" w:hAnsi="宋体" w:cs="宋体"/>
                <w:szCs w:val="21"/>
              </w:rPr>
            </w:pPr>
            <w:r>
              <w:rPr>
                <w:rFonts w:hint="eastAsia" w:ascii="宋体" w:hAnsi="宋体" w:cs="宋体"/>
                <w:szCs w:val="21"/>
              </w:rPr>
              <w:t>Q4.2</w:t>
            </w:r>
          </w:p>
          <w:p>
            <w:pPr>
              <w:rPr>
                <w:rFonts w:asciiTheme="minorEastAsia" w:hAnsiTheme="minorEastAsia" w:eastAsiaTheme="minorEastAsia" w:cstheme="minorEastAsia"/>
                <w:kern w:val="2"/>
                <w:sz w:val="21"/>
                <w:szCs w:val="21"/>
                <w:lang w:val="en-US" w:eastAsia="zh-CN" w:bidi="ar-SA"/>
              </w:rPr>
            </w:pPr>
          </w:p>
        </w:tc>
        <w:tc>
          <w:tcPr>
            <w:tcW w:w="10004" w:type="dxa"/>
            <w:vAlign w:val="top"/>
          </w:tcPr>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与公司领导交流，</w:t>
            </w:r>
            <w:r>
              <w:rPr>
                <w:rFonts w:hint="eastAsia" w:asciiTheme="minorEastAsia" w:hAnsiTheme="minorEastAsia" w:eastAsiaTheme="minorEastAsia" w:cstheme="minorEastAsia"/>
                <w:szCs w:val="21"/>
                <w:lang w:val="en-US" w:eastAsia="zh-CN"/>
              </w:rPr>
              <w:t>各</w:t>
            </w:r>
            <w:r>
              <w:rPr>
                <w:rFonts w:hint="eastAsia"/>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szCs w:val="21"/>
              </w:rPr>
              <w:t>做为公司经营风险分析和发展机遇的可利用资源。内外部相关方需求分析高管层分析很到位，政策执行也好，未形成很好的书面材料。</w:t>
            </w:r>
          </w:p>
          <w:p>
            <w:pPr>
              <w:spacing w:line="360" w:lineRule="auto"/>
              <w:ind w:firstLine="420" w:firstLineChars="200"/>
              <w:rPr>
                <w:rFonts w:ascii="Times New Roman" w:hAnsi="Times New Roman" w:eastAsia="宋体" w:cs="Times New Roman"/>
                <w:kern w:val="2"/>
                <w:sz w:val="21"/>
                <w:lang w:val="en-US" w:eastAsia="zh-CN" w:bidi="ar-SA"/>
              </w:rPr>
            </w:pPr>
            <w:r>
              <w:rPr>
                <w:rFonts w:hint="eastAsia"/>
              </w:rPr>
              <w:t>公司运营过程中充分考虑相关方方面的期望或要求，识别的相关方有：顾客、最终用户或受益人、业主，股东、员工等。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60" w:type="dxa"/>
            <w:vAlign w:val="top"/>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rPr>
                <w:rFonts w:ascii="Times New Roman" w:hAnsi="Times New Roman" w:eastAsia="宋体" w:cs="Times New Roman"/>
                <w:kern w:val="2"/>
                <w:sz w:val="21"/>
                <w:lang w:val="en-US" w:eastAsia="zh-CN" w:bidi="ar-SA"/>
              </w:rPr>
            </w:pPr>
          </w:p>
        </w:tc>
        <w:tc>
          <w:tcPr>
            <w:tcW w:w="960" w:type="dxa"/>
            <w:vAlign w:val="top"/>
          </w:tcPr>
          <w:p>
            <w:pPr>
              <w:spacing w:line="280" w:lineRule="exact"/>
              <w:rPr>
                <w:rFonts w:ascii="宋体" w:hAnsi="宋体" w:cs="宋体"/>
                <w:szCs w:val="21"/>
              </w:rPr>
            </w:pPr>
            <w:r>
              <w:rPr>
                <w:rFonts w:hint="eastAsia" w:ascii="宋体" w:hAnsi="宋体" w:cs="宋体"/>
                <w:szCs w:val="21"/>
              </w:rPr>
              <w:t>Q4.3</w:t>
            </w:r>
          </w:p>
          <w:p>
            <w:pPr>
              <w:spacing w:line="280" w:lineRule="exact"/>
              <w:rPr>
                <w:rFonts w:ascii="Times New Roman" w:hAnsi="Times New Roman" w:eastAsia="宋体" w:cs="Times New Roman"/>
                <w:kern w:val="2"/>
                <w:sz w:val="21"/>
                <w:lang w:val="en-US" w:eastAsia="zh-CN" w:bidi="ar-SA"/>
              </w:rPr>
            </w:pPr>
          </w:p>
        </w:tc>
        <w:tc>
          <w:tcPr>
            <w:tcW w:w="10004" w:type="dxa"/>
            <w:vAlign w:val="top"/>
          </w:tcPr>
          <w:p>
            <w:pPr>
              <w:spacing w:line="280" w:lineRule="exact"/>
              <w:ind w:firstLine="420" w:firstLineChars="200"/>
              <w:jc w:val="left"/>
              <w:rPr>
                <w:rFonts w:hint="eastAsia"/>
                <w:color w:val="000000"/>
                <w:szCs w:val="21"/>
              </w:rPr>
            </w:pPr>
            <w:r>
              <w:rPr>
                <w:rFonts w:hint="eastAsia" w:ascii="宋体" w:hAnsi="宋体" w:cs="宋体"/>
                <w:szCs w:val="21"/>
              </w:rPr>
              <w:t>公司</w:t>
            </w:r>
            <w:r>
              <w:rPr>
                <w:rFonts w:hint="eastAsia" w:ascii="宋体" w:hAnsi="宋体" w:cs="宋体"/>
                <w:szCs w:val="21"/>
                <w:lang w:val="en-US" w:eastAsia="zh-CN"/>
              </w:rPr>
              <w:t>质量</w:t>
            </w:r>
            <w:r>
              <w:rPr>
                <w:rFonts w:hint="eastAsia" w:ascii="宋体" w:hAnsi="宋体" w:cs="宋体"/>
                <w:szCs w:val="21"/>
              </w:rPr>
              <w:t>管理体系范围为：</w:t>
            </w:r>
            <w:r>
              <w:rPr>
                <w:rFonts w:hint="eastAsia" w:ascii="宋体" w:hAnsi="宋体"/>
                <w:szCs w:val="21"/>
              </w:rPr>
              <w:t>园林绿化服务</w:t>
            </w:r>
          </w:p>
          <w:p>
            <w:pPr>
              <w:rPr>
                <w:b/>
                <w:bCs/>
                <w:color w:val="auto"/>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不适用条款:Q8.3</w:t>
            </w:r>
            <w:r>
              <w:rPr>
                <w:rFonts w:hint="eastAsia" w:ascii="宋体" w:hAnsi="宋体"/>
                <w:b/>
                <w:bCs/>
                <w:color w:val="auto"/>
                <w:lang w:eastAsia="zh-CN"/>
              </w:rPr>
              <w:t>，</w:t>
            </w:r>
            <w:r>
              <w:rPr>
                <w:rFonts w:hint="eastAsia" w:ascii="宋体" w:hAnsi="宋体"/>
                <w:b/>
                <w:bCs/>
                <w:color w:val="auto"/>
                <w:lang w:val="en-US" w:eastAsia="zh-CN"/>
              </w:rPr>
              <w:t>不适用理由：因</w:t>
            </w:r>
            <w:r>
              <w:rPr>
                <w:rFonts w:hint="eastAsia" w:ascii="宋体" w:hAnsi="宋体"/>
                <w:color w:val="auto"/>
                <w:szCs w:val="21"/>
              </w:rPr>
              <w:t>园林绿化服务</w:t>
            </w:r>
            <w:r>
              <w:rPr>
                <w:rFonts w:hint="eastAsia" w:ascii="宋体" w:hAnsi="宋体"/>
                <w:color w:val="auto"/>
                <w:szCs w:val="21"/>
                <w:lang w:val="en-US" w:eastAsia="zh-CN"/>
              </w:rPr>
              <w:t>根据顾客的要求，所以</w:t>
            </w:r>
            <w:r>
              <w:rPr>
                <w:rFonts w:hint="eastAsia" w:ascii="宋体" w:hAnsi="宋体"/>
                <w:color w:val="auto"/>
                <w:szCs w:val="21"/>
              </w:rPr>
              <w:t>园林绿化服务</w:t>
            </w:r>
            <w:r>
              <w:rPr>
                <w:rFonts w:hint="eastAsia" w:ascii="宋体" w:hAnsi="宋体"/>
                <w:color w:val="auto"/>
                <w:szCs w:val="21"/>
                <w:lang w:val="en-US" w:eastAsia="zh-CN"/>
              </w:rPr>
              <w:t>不涉及设计开发.</w:t>
            </w:r>
            <w:r>
              <w:rPr>
                <w:rFonts w:hint="eastAsia" w:ascii="宋体" w:hAnsi="宋体"/>
                <w:color w:val="auto"/>
                <w:szCs w:val="21"/>
              </w:rPr>
              <w:t>，</w:t>
            </w:r>
            <w:r>
              <w:rPr>
                <w:rFonts w:hint="eastAsia"/>
                <w:b/>
                <w:bCs/>
                <w:color w:val="auto"/>
                <w:szCs w:val="21"/>
              </w:rPr>
              <w:t>此条款的不适用，</w:t>
            </w:r>
            <w:r>
              <w:rPr>
                <w:rStyle w:val="12"/>
                <w:rFonts w:hint="eastAsia" w:ascii="Arial" w:hAnsi="Arial" w:cs="Arial"/>
                <w:color w:val="auto"/>
                <w:shd w:val="clear" w:color="auto" w:fill="FFFFFF"/>
              </w:rPr>
              <w:t>不影响</w:t>
            </w:r>
            <w:r>
              <w:rPr>
                <w:rStyle w:val="12"/>
                <w:rFonts w:hint="eastAsia" w:ascii="Arial" w:hAnsi="Arial" w:cs="Arial"/>
                <w:color w:val="auto"/>
                <w:sz w:val="20"/>
                <w:szCs w:val="21"/>
                <w:shd w:val="clear" w:color="auto" w:fill="FFFFFF"/>
                <w:lang w:val="en-US" w:eastAsia="zh-CN"/>
              </w:rPr>
              <w:t>承担法规及顾客满意的责任</w:t>
            </w:r>
            <w:r>
              <w:rPr>
                <w:rFonts w:hint="eastAsia"/>
                <w:b/>
                <w:bCs/>
                <w:color w:val="auto"/>
                <w:szCs w:val="21"/>
              </w:rPr>
              <w:t>。</w:t>
            </w:r>
          </w:p>
          <w:p>
            <w:pPr>
              <w:ind w:firstLine="420" w:firstLineChars="200"/>
              <w:rPr>
                <w:rFonts w:hint="eastAsia" w:asciiTheme="minorEastAsia" w:hAnsiTheme="minorEastAsia" w:eastAsiaTheme="minorEastAsia" w:cstheme="minorEastAsia"/>
                <w:kern w:val="2"/>
                <w:sz w:val="21"/>
                <w:szCs w:val="21"/>
                <w:lang w:val="en-US" w:eastAsia="zh-CN" w:bidi="ar-SA"/>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管理体系及其过程</w:t>
            </w:r>
          </w:p>
          <w:p>
            <w:pPr>
              <w:rPr>
                <w:rFonts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hint="eastAsia" w:ascii="宋体" w:hAnsi="宋体" w:eastAsia="宋体" w:cs="宋体"/>
                <w:szCs w:val="21"/>
                <w:lang w:val="en-US" w:eastAsia="zh-CN"/>
              </w:rPr>
            </w:pPr>
            <w:r>
              <w:rPr>
                <w:rFonts w:hint="eastAsia" w:ascii="宋体" w:hAnsi="宋体" w:cs="宋体"/>
                <w:szCs w:val="21"/>
              </w:rPr>
              <w:t>Q4.</w:t>
            </w:r>
            <w:r>
              <w:rPr>
                <w:rFonts w:hint="eastAsia" w:ascii="宋体" w:hAnsi="宋体" w:cs="宋体"/>
                <w:szCs w:val="21"/>
                <w:lang w:val="en-US" w:eastAsia="zh-CN"/>
              </w:rPr>
              <w:t>4</w:t>
            </w:r>
          </w:p>
          <w:p>
            <w:pPr>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组织于2019.</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体系从建立至今运行良好，没有变化。</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rPr>
              <w:t>领导作用</w:t>
            </w:r>
            <w:r>
              <w:rPr>
                <w:rFonts w:hint="eastAsia" w:ascii="宋体" w:hAnsi="宋体" w:cs="宋体"/>
                <w:szCs w:val="21"/>
                <w:lang w:val="en-US" w:eastAsia="zh-CN"/>
              </w:rPr>
              <w:t>和</w:t>
            </w:r>
            <w:r>
              <w:rPr>
                <w:rFonts w:hint="eastAsia" w:ascii="宋体" w:hAnsi="宋体" w:cs="宋体"/>
                <w:szCs w:val="21"/>
              </w:rPr>
              <w:t>承诺</w:t>
            </w:r>
          </w:p>
          <w:p>
            <w:pPr>
              <w:spacing w:line="280" w:lineRule="exact"/>
              <w:rPr>
                <w:rFonts w:asciiTheme="minorEastAsia" w:hAnsiTheme="minorEastAsia" w:eastAsiaTheme="minorEastAsia" w:cstheme="minorEastAsia"/>
                <w:kern w:val="2"/>
                <w:sz w:val="21"/>
                <w:szCs w:val="21"/>
                <w:lang w:val="en-US" w:eastAsia="zh-CN" w:bidi="ar-SA"/>
              </w:rPr>
            </w:pPr>
            <w:r>
              <w:rPr>
                <w:rFonts w:hint="eastAsia" w:ascii="宋体" w:hAnsi="宋体" w:cs="宋体"/>
                <w:szCs w:val="21"/>
              </w:rPr>
              <w:t>--总则</w:t>
            </w:r>
          </w:p>
        </w:tc>
        <w:tc>
          <w:tcPr>
            <w:tcW w:w="960" w:type="dxa"/>
            <w:vAlign w:val="top"/>
          </w:tcPr>
          <w:p>
            <w:pPr>
              <w:spacing w:line="280" w:lineRule="exact"/>
              <w:rPr>
                <w:rFonts w:ascii="宋体" w:hAnsi="宋体" w:cs="宋体"/>
                <w:color w:val="auto"/>
                <w:szCs w:val="21"/>
              </w:rPr>
            </w:pPr>
            <w:r>
              <w:rPr>
                <w:rFonts w:hint="eastAsia" w:ascii="宋体" w:hAnsi="宋体" w:cs="宋体"/>
                <w:color w:val="auto"/>
                <w:szCs w:val="21"/>
              </w:rPr>
              <w:t>Q5.1</w:t>
            </w:r>
          </w:p>
          <w:p>
            <w:pPr>
              <w:spacing w:line="280" w:lineRule="exact"/>
              <w:rPr>
                <w:rFonts w:ascii="宋体" w:hAnsi="宋体" w:cs="宋体"/>
                <w:color w:val="auto"/>
                <w:szCs w:val="21"/>
              </w:rPr>
            </w:pPr>
            <w:r>
              <w:rPr>
                <w:rFonts w:hint="eastAsia" w:ascii="宋体" w:hAnsi="宋体" w:cs="宋体"/>
                <w:color w:val="auto"/>
                <w:szCs w:val="21"/>
              </w:rPr>
              <w:t>5.1.1</w:t>
            </w:r>
          </w:p>
          <w:p>
            <w:pPr>
              <w:spacing w:line="280" w:lineRule="exact"/>
              <w:rPr>
                <w:rFonts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最高管理者以顾客为关注焦点和承诺内部有通过以下方面证实：</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确定和应对风险和机遇，这些风险和机遇可能影响产品和服务合格以及增强顾客满意的能力；始终致力于增强顾客和相关方满意。</w:t>
            </w:r>
          </w:p>
          <w:p>
            <w:pPr>
              <w:ind w:firstLine="420" w:firstLineChars="200"/>
            </w:pPr>
            <w:r>
              <w:rPr>
                <w:rFonts w:hint="eastAsia" w:asciiTheme="minorEastAsia" w:hAnsiTheme="minorEastAsia" w:eastAsiaTheme="minorEastAsia" w:cstheme="minorEastAsia"/>
                <w:szCs w:val="21"/>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对管理体系运行的有效性负责；以顾客为关注焦点</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支持相关管理者在其职责范围内发挥领导作用，推动改进等。领导作用和承诺充分明确，基本符合标准要求。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以顾客为关注焦点</w:t>
            </w:r>
          </w:p>
        </w:tc>
        <w:tc>
          <w:tcPr>
            <w:tcW w:w="960" w:type="dxa"/>
            <w:vAlign w:val="top"/>
          </w:tcPr>
          <w:p>
            <w:pP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Q5.1.2</w:t>
            </w:r>
          </w:p>
        </w:tc>
        <w:tc>
          <w:tcPr>
            <w:tcW w:w="10004" w:type="dxa"/>
            <w:vAlign w:val="top"/>
          </w:tcPr>
          <w:p>
            <w:pPr>
              <w:ind w:firstLine="420" w:firstLineChars="200"/>
            </w:pPr>
            <w:r>
              <w:rPr>
                <w:rFonts w:hint="eastAsia"/>
              </w:rPr>
              <w:t>公司的成功取决于理解并满足顾客及其他相关方当前和未来的需求和期望，并争取超越这些需求和期望。最高管理者实现顾客满意为目标，做到：</w:t>
            </w:r>
          </w:p>
          <w:p>
            <w:pPr>
              <w:ind w:firstLine="420" w:firstLineChars="200"/>
            </w:pPr>
            <w:r>
              <w:rPr>
                <w:rFonts w:hint="eastAsia"/>
              </w:rPr>
              <w:t>a）确定、理解并持续满足顾客要求以及适用的法律法规要求；</w:t>
            </w:r>
          </w:p>
          <w:p>
            <w:pPr>
              <w:ind w:firstLine="420" w:firstLineChars="200"/>
            </w:pPr>
            <w:r>
              <w:rPr>
                <w:rFonts w:hint="eastAsia"/>
              </w:rPr>
              <w:t>b）确定和应对能够影响产品、服务符合性以及增强顾客满意能力的风险和机遇；</w:t>
            </w:r>
          </w:p>
          <w:p>
            <w:pPr>
              <w:ind w:firstLine="420" w:firstLineChars="200"/>
            </w:pPr>
            <w:r>
              <w:rPr>
                <w:rFonts w:hint="eastAsia"/>
              </w:rPr>
              <w:t>c）始终致力于增强顾客满意。</w:t>
            </w:r>
          </w:p>
          <w:p>
            <w:pPr>
              <w:ind w:firstLine="420" w:firstLineChars="200"/>
            </w:pPr>
            <w:r>
              <w:rPr>
                <w:rFonts w:hint="eastAsia"/>
              </w:rPr>
              <w:t>公司的生存和发展依存于顾客，公司全体员工以增强顾客满意为目标，做到：</w:t>
            </w:r>
          </w:p>
          <w:p>
            <w:pPr>
              <w:ind w:firstLine="420" w:firstLineChars="200"/>
            </w:pPr>
            <w:r>
              <w:rPr>
                <w:rFonts w:hint="eastAsia"/>
              </w:rPr>
              <w:t>a)以顾客满意为目标，由销售部通过对顾客的访问、市场调查，了解和确定顾客和潜在顾客的需求和期望；</w:t>
            </w:r>
          </w:p>
          <w:p>
            <w:pPr>
              <w:ind w:firstLine="420" w:firstLineChars="200"/>
            </w:pPr>
            <w:r>
              <w:rPr>
                <w:rFonts w:hint="eastAsia"/>
              </w:rPr>
              <w:t>b)通过对生产和服务要求的评审和产品实现的策划等过程，将顾客的需求和期望转化为产品要求、过程要求和质量管理要求；</w:t>
            </w:r>
          </w:p>
          <w:p>
            <w:pPr>
              <w:ind w:firstLine="420" w:firstLineChars="200"/>
            </w:pPr>
            <w:r>
              <w:rPr>
                <w:rFonts w:hint="eastAsia"/>
              </w:rPr>
              <w:t>c)通过管理体系过程的有效控制，使转化的产品要求得到满足，并通过对顾客反馈信息的分析、处置和沟通，增强顾客的满意程度；</w:t>
            </w:r>
          </w:p>
          <w:p>
            <w:pPr>
              <w:ind w:firstLine="420" w:firstLineChars="200"/>
              <w:rPr>
                <w:rFonts w:hint="eastAsia" w:ascii="Times New Roman" w:hAnsi="Times New Roman" w:eastAsia="宋体" w:cs="Times New Roman"/>
                <w:kern w:val="2"/>
                <w:sz w:val="21"/>
                <w:lang w:val="en-US" w:eastAsia="zh-CN" w:bidi="ar-SA"/>
              </w:rPr>
            </w:pPr>
            <w:r>
              <w:rPr>
                <w:rFonts w:hint="eastAsia"/>
              </w:rPr>
              <w:t>d)总经理应确保建立并保持定期征求顾客对产品质量及其改进方面意见的机制，通过顾客满意度调查和售后服务调查等形式征求并处置顾客意见。</w:t>
            </w:r>
            <w:r>
              <w:rPr>
                <w:rFonts w:hint="eastAsia" w:ascii="宋体" w:hAnsi="宋体" w:cs="宋体"/>
                <w:szCs w:val="21"/>
              </w:rPr>
              <w:t>详见审核Q9.1.2条款记录。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制定管理方针</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沟通质量方针</w:t>
            </w:r>
          </w:p>
        </w:tc>
        <w:tc>
          <w:tcPr>
            <w:tcW w:w="960" w:type="dxa"/>
            <w:vAlign w:val="top"/>
          </w:tcPr>
          <w:p>
            <w:pPr>
              <w:spacing w:line="280" w:lineRule="exact"/>
              <w:rPr>
                <w:rFonts w:ascii="宋体" w:hAnsi="宋体" w:cs="宋体"/>
                <w:szCs w:val="21"/>
              </w:rPr>
            </w:pPr>
            <w:r>
              <w:rPr>
                <w:rFonts w:hint="eastAsia" w:ascii="宋体" w:hAnsi="宋体" w:cs="宋体"/>
                <w:szCs w:val="21"/>
              </w:rPr>
              <w:t>Q5.2</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该企业的管理方针是</w:t>
            </w:r>
            <w:r>
              <w:rPr>
                <w:rFonts w:hint="eastAsia" w:asciiTheme="minorEastAsia" w:hAnsiTheme="minorEastAsia" w:eastAsiaTheme="minorEastAsia" w:cstheme="minorEastAsia"/>
                <w:b/>
                <w:bCs/>
                <w:szCs w:val="21"/>
              </w:rPr>
              <w:t>：</w:t>
            </w:r>
          </w:p>
          <w:p>
            <w:pPr>
              <w:rPr>
                <w:rFonts w:hint="eastAsia"/>
              </w:rPr>
            </w:pPr>
            <w:r>
              <w:rPr>
                <w:rFonts w:hint="eastAsia"/>
              </w:rPr>
              <w:t>遵守法律法规，以人为本， 持续改进，确保体系有效； </w:t>
            </w:r>
          </w:p>
          <w:p>
            <w:pPr>
              <w:rPr>
                <w:rFonts w:hint="eastAsia"/>
              </w:rPr>
            </w:pPr>
            <w:r>
              <w:rPr>
                <w:rFonts w:hint="eastAsia"/>
              </w:rPr>
              <w:t>以顾客为中心，保护环境， 预防事故，创建满意工程。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pPr>
              <w:ind w:firstLine="420" w:firstLineChars="200"/>
              <w:rPr>
                <w:rFonts w:hint="eastAsia" w:asciiTheme="minorEastAsia" w:hAnsiTheme="minorEastAsia" w:eastAsiaTheme="minorEastAsia" w:cstheme="minorEastAsia"/>
                <w:kern w:val="2"/>
                <w:sz w:val="21"/>
                <w:szCs w:val="21"/>
                <w:lang w:val="en-US" w:eastAsia="zh-CN" w:bidi="ar-SA"/>
              </w:rPr>
            </w:pP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组织的岗位、职责和权限</w:t>
            </w:r>
          </w:p>
          <w:p>
            <w:pPr>
              <w:pStyle w:val="2"/>
              <w:rPr>
                <w:rFonts w:asciiTheme="minorEastAsia" w:hAnsiTheme="minorEastAsia" w:eastAsiaTheme="minorEastAsia" w:cstheme="minorEastAsia"/>
                <w:bCs w:val="0"/>
                <w:szCs w:val="21"/>
              </w:rPr>
            </w:pPr>
          </w:p>
          <w:p>
            <w:pPr>
              <w:pStyle w:val="2"/>
              <w:rPr>
                <w:rFonts w:asciiTheme="minorEastAsia" w:hAnsiTheme="minorEastAsia" w:eastAsiaTheme="minorEastAsia" w:cstheme="minorEastAsia"/>
                <w:bCs w:val="0"/>
                <w:szCs w:val="21"/>
              </w:rPr>
            </w:pPr>
          </w:p>
          <w:p>
            <w:pPr>
              <w:pStyle w:val="2"/>
              <w:rPr>
                <w:rFonts w:hint="eastAsia" w:ascii="Times New Roman" w:hAnsi="Times New Roman" w:eastAsia="宋体" w:cs="Times New Roman"/>
                <w:kern w:val="2"/>
                <w:sz w:val="21"/>
                <w:szCs w:val="21"/>
                <w:lang w:val="en-US" w:eastAsia="zh-CN" w:bidi="ar-SA"/>
              </w:rPr>
            </w:pPr>
          </w:p>
        </w:tc>
        <w:tc>
          <w:tcPr>
            <w:tcW w:w="960" w:type="dxa"/>
            <w:vAlign w:val="top"/>
          </w:tcPr>
          <w:p>
            <w:pPr>
              <w:spacing w:line="280" w:lineRule="exact"/>
              <w:rPr>
                <w:rFonts w:ascii="宋体" w:cs="宋体"/>
                <w:szCs w:val="21"/>
              </w:rPr>
            </w:pPr>
            <w:r>
              <w:rPr>
                <w:rFonts w:ascii="宋体" w:cs="宋体"/>
                <w:szCs w:val="21"/>
              </w:rPr>
              <w:t>Q5.3</w:t>
            </w:r>
          </w:p>
          <w:p>
            <w:pPr>
              <w:pStyle w:val="2"/>
              <w:rPr>
                <w:rFonts w:ascii="宋体" w:cs="宋体"/>
                <w:szCs w:val="21"/>
              </w:rPr>
            </w:pPr>
          </w:p>
          <w:p>
            <w:pPr>
              <w:pStyle w:val="2"/>
              <w:rPr>
                <w:rFonts w:ascii="宋体" w:cs="宋体"/>
                <w:szCs w:val="21"/>
              </w:rPr>
            </w:pPr>
          </w:p>
          <w:p>
            <w:pPr>
              <w:pStyle w:val="2"/>
              <w:rPr>
                <w:rFonts w:ascii="宋体" w:cs="宋体"/>
                <w:szCs w:val="21"/>
              </w:rPr>
            </w:pPr>
          </w:p>
          <w:p>
            <w:pPr>
              <w:pStyle w:val="2"/>
            </w:pPr>
          </w:p>
          <w:p>
            <w:pPr>
              <w:rPr>
                <w:rFonts w:hint="eastAsia" w:ascii="Times New Roman" w:hAnsi="Times New Roman" w:eastAsia="宋体" w:cs="Times New Roman"/>
                <w:kern w:val="2"/>
                <w:sz w:val="21"/>
                <w:szCs w:val="21"/>
                <w:lang w:val="en-US" w:eastAsia="zh-CN" w:bidi="ar-SA"/>
              </w:rPr>
            </w:pPr>
          </w:p>
        </w:tc>
        <w:tc>
          <w:tcPr>
            <w:tcW w:w="10004" w:type="dxa"/>
            <w:vAlign w:val="top"/>
          </w:tcPr>
          <w:p>
            <w:pPr>
              <w:spacing w:line="280" w:lineRule="exact"/>
              <w:ind w:firstLine="420" w:firstLineChars="200"/>
              <w:rPr>
                <w:color w:val="auto"/>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w:t>
            </w:r>
            <w:r>
              <w:rPr>
                <w:rFonts w:hint="eastAsia"/>
                <w:szCs w:val="22"/>
                <w:lang w:val="en-US" w:eastAsia="zh-CN"/>
              </w:rPr>
              <w:t>质量</w:t>
            </w:r>
            <w:r>
              <w:rPr>
                <w:rFonts w:hint="eastAsia"/>
                <w:szCs w:val="22"/>
              </w:rPr>
              <w:t>方针和管理目标。建立、实施和保持公司</w:t>
            </w:r>
            <w:r>
              <w:rPr>
                <w:rFonts w:hint="eastAsia"/>
                <w:szCs w:val="22"/>
                <w:lang w:val="en-US" w:eastAsia="zh-CN"/>
              </w:rPr>
              <w:t>质量</w:t>
            </w:r>
            <w:r>
              <w:rPr>
                <w:rFonts w:hint="eastAsia"/>
                <w:szCs w:val="22"/>
              </w:rPr>
              <w:t>管理体</w:t>
            </w:r>
            <w:r>
              <w:rPr>
                <w:rFonts w:hint="eastAsia"/>
                <w:color w:val="auto"/>
                <w:szCs w:val="22"/>
              </w:rPr>
              <w:t>系所需的过程，公司决定任命</w:t>
            </w:r>
            <w:r>
              <w:rPr>
                <w:rFonts w:hint="eastAsia"/>
                <w:color w:val="auto"/>
                <w:szCs w:val="22"/>
                <w:lang w:val="en-US" w:eastAsia="zh-CN"/>
              </w:rPr>
              <w:t>冯俊</w:t>
            </w:r>
            <w:r>
              <w:rPr>
                <w:rFonts w:hint="eastAsia"/>
                <w:color w:val="auto"/>
                <w:szCs w:val="22"/>
              </w:rPr>
              <w:t>为管</w:t>
            </w:r>
            <w:r>
              <w:rPr>
                <w:rFonts w:hint="eastAsia"/>
                <w:color w:val="auto"/>
              </w:rPr>
              <w:t>理体系的管理者代表。其职责和权限规定如下：</w:t>
            </w:r>
          </w:p>
          <w:p>
            <w:pPr>
              <w:spacing w:line="280" w:lineRule="exact"/>
              <w:ind w:firstLine="420" w:firstLineChars="200"/>
              <w:rPr>
                <w:color w:val="auto"/>
              </w:rPr>
            </w:pPr>
            <w:r>
              <w:rPr>
                <w:rFonts w:hint="eastAsia"/>
                <w:color w:val="auto"/>
              </w:rPr>
              <w:t>确保本公司管理体系所需的过程得到建立、实施和保持，代表总经理行使职权；</w:t>
            </w:r>
          </w:p>
          <w:p>
            <w:pPr>
              <w:spacing w:line="280" w:lineRule="exact"/>
              <w:ind w:firstLine="420" w:firstLineChars="200"/>
              <w:rPr>
                <w:rFonts w:hint="eastAsia"/>
                <w:color w:val="auto"/>
              </w:rPr>
            </w:pPr>
            <w:r>
              <w:rPr>
                <w:rFonts w:hint="eastAsia"/>
                <w:color w:val="auto"/>
              </w:rPr>
              <w:t>向最高管理者报告管理体系的运行、管理业绩情况以供评审，并提出管理体系改进方面的建议；</w:t>
            </w:r>
          </w:p>
          <w:p>
            <w:pPr>
              <w:spacing w:line="280" w:lineRule="exact"/>
              <w:ind w:firstLine="420" w:firstLineChars="200"/>
              <w:rPr>
                <w:rFonts w:hint="eastAsia" w:ascii="Times New Roman" w:hAnsi="Times New Roman" w:eastAsia="宋体" w:cs="Times New Roman"/>
                <w:kern w:val="2"/>
                <w:sz w:val="21"/>
                <w:szCs w:val="21"/>
                <w:lang w:val="en-US" w:eastAsia="zh-CN" w:bidi="ar-SA"/>
              </w:rPr>
            </w:pPr>
            <w:r>
              <w:rPr>
                <w:rFonts w:hint="eastAsia"/>
                <w:color w:val="auto"/>
              </w:rPr>
              <w:t>确保在整个组织内提高满足顾客、相关方要求和适用法律法规要求的意识；组织落实公司管理体系的管理评审和内部审核；及时处理影响公司管</w:t>
            </w:r>
            <w:r>
              <w:rPr>
                <w:rFonts w:hint="eastAsia"/>
                <w:b/>
                <w:bCs/>
                <w:color w:val="auto"/>
                <w:szCs w:val="22"/>
              </w:rPr>
              <w:t>理</w:t>
            </w:r>
            <w:r>
              <w:rPr>
                <w:rFonts w:hint="eastAsia"/>
                <w:color w:val="auto"/>
                <w:szCs w:val="22"/>
              </w:rPr>
              <w:t>体系正常运行的有关问题；负责公司管理体系有关事宜的对外联络等。</w:t>
            </w:r>
            <w:r>
              <w:rPr>
                <w:rFonts w:hint="eastAsia" w:asciiTheme="minorEastAsia" w:hAnsiTheme="minorEastAsia" w:eastAsiaTheme="minorEastAsia" w:cstheme="minorEastAsia"/>
                <w:szCs w:val="21"/>
              </w:rPr>
              <w:t xml:space="preserve"> </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应对</w:t>
            </w:r>
            <w:r>
              <w:rPr>
                <w:rFonts w:hint="eastAsia" w:asciiTheme="minorEastAsia" w:hAnsiTheme="minorEastAsia" w:eastAsiaTheme="minorEastAsia" w:cstheme="minorEastAsia"/>
                <w:szCs w:val="21"/>
              </w:rPr>
              <w:t>风险和机遇</w:t>
            </w:r>
            <w:r>
              <w:rPr>
                <w:rFonts w:hint="eastAsia" w:asciiTheme="minorEastAsia" w:hAnsiTheme="minorEastAsia" w:eastAsiaTheme="minorEastAsia" w:cstheme="minorEastAsia"/>
                <w:szCs w:val="21"/>
                <w:lang w:val="en-US" w:eastAsia="zh-CN"/>
              </w:rPr>
              <w:t>的措施</w:t>
            </w:r>
          </w:p>
        </w:tc>
        <w:tc>
          <w:tcPr>
            <w:tcW w:w="960" w:type="dxa"/>
            <w:vAlign w:val="top"/>
          </w:tcPr>
          <w:p>
            <w:pPr>
              <w:spacing w:line="280" w:lineRule="exact"/>
              <w:rPr>
                <w:rFonts w:ascii="宋体"/>
                <w:szCs w:val="21"/>
              </w:rPr>
            </w:pPr>
            <w:r>
              <w:rPr>
                <w:rFonts w:hint="eastAsia" w:ascii="宋体" w:hAnsi="宋体" w:cs="宋体"/>
                <w:szCs w:val="21"/>
              </w:rPr>
              <w:t>Q6.1</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spacing w:line="280" w:lineRule="exact"/>
              <w:ind w:firstLine="420" w:firstLineChars="200"/>
            </w:pP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ind w:firstLine="210" w:firstLineChars="100"/>
            </w:pPr>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w:t>
            </w:r>
            <w:r>
              <w:rPr>
                <w:rFonts w:hint="eastAsia"/>
                <w:lang w:eastAsia="zh-CN"/>
              </w:rPr>
              <w:t>，</w:t>
            </w:r>
            <w:r>
              <w:t>确保公司的质量、环境管理体系能够实现其预期结果，预防或减少不期望的影响，包括外部环境状况对公司的潜在影响，实现持续改进。</w:t>
            </w:r>
          </w:p>
          <w:p>
            <w:r>
              <w:t>公司存在的风险和机遇主要有：</w:t>
            </w:r>
          </w:p>
          <w:p>
            <w:r>
              <w:t>a）</w:t>
            </w:r>
            <w:r>
              <w:rPr>
                <w:rFonts w:hint="eastAsia"/>
              </w:rPr>
              <w:t>园林绿化服务管理；</w:t>
            </w:r>
            <w:r>
              <w:t>由于人员的专业知识不足，工程质量不合格。</w:t>
            </w:r>
          </w:p>
          <w:p>
            <w:r>
              <w:t>b）</w:t>
            </w:r>
            <w:r>
              <w:rPr>
                <w:rFonts w:hint="eastAsia"/>
              </w:rPr>
              <w:t>园林绿化服务管理；</w:t>
            </w:r>
            <w:r>
              <w:t>由于作业指导书</w:t>
            </w:r>
            <w:r>
              <w:rPr>
                <w:rFonts w:hint="eastAsia"/>
                <w:lang w:val="en-US" w:eastAsia="zh-CN"/>
              </w:rPr>
              <w:t>不足</w:t>
            </w:r>
            <w:r>
              <w:t>，使得</w:t>
            </w:r>
            <w:r>
              <w:rPr>
                <w:rFonts w:hint="eastAsia"/>
                <w:lang w:val="en-US" w:eastAsia="zh-CN"/>
              </w:rPr>
              <w:t>服务</w:t>
            </w:r>
            <w:r>
              <w:t>质量不合格。</w:t>
            </w:r>
          </w:p>
          <w:p>
            <w:r>
              <w:t>c）采购的材料不合格，造成</w:t>
            </w:r>
            <w:r>
              <w:rPr>
                <w:rFonts w:hint="eastAsia"/>
                <w:lang w:val="en-US" w:eastAsia="zh-CN"/>
              </w:rPr>
              <w:t>服务</w:t>
            </w:r>
            <w:r>
              <w:t>的不合格。</w:t>
            </w:r>
          </w:p>
          <w:p>
            <w:r>
              <w:t>d）违反相关的法律法规，影响公司的社会形象，遵守法规提高公司的社会形象。</w:t>
            </w:r>
          </w:p>
          <w:p>
            <w:r>
              <w:t>f）经营方面的风险如PPP、资金运行等</w:t>
            </w:r>
          </w:p>
          <w:p>
            <w:pPr>
              <w:ind w:firstLine="420" w:firstLineChars="200"/>
            </w:pPr>
            <w:r>
              <w:t>应对这些风险编制了《管理手册》</w:t>
            </w:r>
            <w:r>
              <w:rPr>
                <w:rFonts w:hint="eastAsia"/>
              </w:rPr>
              <w:t>、</w:t>
            </w:r>
            <w:r>
              <w:t>《程序文件》及《管理制度》</w:t>
            </w:r>
            <w:r>
              <w:rPr>
                <w:rFonts w:hint="eastAsia"/>
                <w:lang w:val="en-US" w:eastAsia="zh-CN"/>
              </w:rPr>
              <w:t>并制定了相应的措施：</w:t>
            </w:r>
          </w:p>
          <w:p>
            <w:pPr>
              <w:pStyle w:val="2"/>
              <w:rPr>
                <w:rFonts w:hint="default"/>
                <w:lang w:val="en-US" w:eastAsia="zh-CN"/>
              </w:rPr>
            </w:pPr>
            <w:r>
              <w:rPr>
                <w:rFonts w:hint="eastAsia"/>
                <w:lang w:val="en-US" w:eastAsia="zh-CN"/>
              </w:rPr>
              <w:t>加强对人员专业知识的培训、与客户进行质量标准制定的沟通，进一步完善作业指导书、对公司影响较大的大宗原材料做好年度采购计划、主要职能部门按照要求定期收集法律法规等。</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szCs w:val="21"/>
              </w:rPr>
            </w:pPr>
            <w:r>
              <w:rPr>
                <w:rFonts w:hint="eastAsia" w:ascii="宋体" w:hAnsi="宋体" w:cs="宋体"/>
                <w:szCs w:val="21"/>
                <w:lang w:val="en-US" w:eastAsia="zh-CN"/>
              </w:rPr>
              <w:t>质量</w:t>
            </w:r>
            <w:r>
              <w:rPr>
                <w:rFonts w:hint="eastAsia" w:ascii="宋体" w:hAnsi="宋体" w:cs="宋体"/>
                <w:szCs w:val="21"/>
              </w:rPr>
              <w:t>目标及其实现的策划</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Q6.2</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公司目标：                                     实际达成状态</w:t>
            </w:r>
          </w:p>
          <w:p>
            <w:pPr>
              <w:spacing w:line="400" w:lineRule="exact"/>
              <w:ind w:firstLine="480" w:firstLineChars="200"/>
              <w:rPr>
                <w:rFonts w:ascii="宋体" w:hAnsi="宋体"/>
                <w:sz w:val="24"/>
              </w:rPr>
            </w:pPr>
            <w:r>
              <w:rPr>
                <w:rFonts w:hint="eastAsia" w:ascii="宋体" w:hAnsi="宋体"/>
                <w:sz w:val="24"/>
              </w:rPr>
              <w:t xml:space="preserve">服务质量合格率100%； </w:t>
            </w:r>
            <w:r>
              <w:rPr>
                <w:rFonts w:ascii="宋体" w:hAnsi="宋体"/>
                <w:sz w:val="24"/>
              </w:rPr>
              <w:t xml:space="preserve">                        </w:t>
            </w:r>
            <w:r>
              <w:rPr>
                <w:rFonts w:hint="eastAsia" w:ascii="宋体" w:hAnsi="宋体"/>
                <w:sz w:val="24"/>
              </w:rPr>
              <w:t>100%</w:t>
            </w:r>
          </w:p>
          <w:p>
            <w:pPr>
              <w:spacing w:line="400" w:lineRule="exact"/>
              <w:ind w:firstLine="480" w:firstLineChars="200"/>
              <w:rPr>
                <w:rFonts w:ascii="宋体" w:hAnsi="宋体"/>
                <w:sz w:val="24"/>
              </w:rPr>
            </w:pPr>
            <w:r>
              <w:rPr>
                <w:rFonts w:hint="eastAsia" w:ascii="宋体" w:hAnsi="宋体"/>
                <w:sz w:val="24"/>
              </w:rPr>
              <w:t xml:space="preserve">顾客满意率≥95%。 </w:t>
            </w:r>
            <w:r>
              <w:rPr>
                <w:rFonts w:ascii="宋体" w:hAnsi="宋体"/>
                <w:sz w:val="24"/>
              </w:rPr>
              <w:t xml:space="preserve">                                </w:t>
            </w:r>
            <w:r>
              <w:rPr>
                <w:rFonts w:hint="eastAsia" w:ascii="宋体" w:hAnsi="宋体"/>
                <w:sz w:val="24"/>
              </w:rPr>
              <w:t>98%</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以上目标指标均已完成。</w:t>
            </w:r>
            <w:r>
              <w:rPr>
                <w:rFonts w:hint="eastAsia" w:asciiTheme="minorEastAsia" w:hAnsiTheme="minorEastAsia" w:eastAsiaTheme="minorEastAsia" w:cstheme="minorEastAsia"/>
                <w:szCs w:val="21"/>
                <w:lang w:val="en-US" w:eastAsia="zh-CN"/>
              </w:rPr>
              <w:t>由综合部负责考核，</w:t>
            </w:r>
            <w:r>
              <w:rPr>
                <w:rFonts w:hint="eastAsia" w:asciiTheme="minorEastAsia" w:hAnsiTheme="minorEastAsia" w:eastAsiaTheme="minorEastAsia" w:cstheme="minorEastAsia"/>
                <w:szCs w:val="21"/>
              </w:rPr>
              <w:t>考核</w:t>
            </w:r>
            <w:r>
              <w:rPr>
                <w:rFonts w:hint="eastAsia" w:asciiTheme="minorEastAsia" w:hAnsiTheme="minorEastAsia" w:eastAsiaTheme="minorEastAsia" w:cstheme="minorEastAsia"/>
                <w:szCs w:val="21"/>
                <w:lang w:val="en-US" w:eastAsia="zh-CN"/>
              </w:rPr>
              <w:t>日期</w:t>
            </w:r>
            <w:r>
              <w:rPr>
                <w:rFonts w:hint="eastAsia" w:asciiTheme="minorEastAsia" w:hAnsiTheme="minorEastAsia" w:eastAsiaTheme="minorEastAsia" w:cstheme="minorEastAsia"/>
                <w:szCs w:val="21"/>
              </w:rPr>
              <w:t>： 20</w:t>
            </w:r>
            <w:r>
              <w:rPr>
                <w:rFonts w:hint="eastAsia" w:asciiTheme="minorEastAsia" w:hAnsiTheme="minorEastAsia" w:eastAsiaTheme="minorEastAsia" w:cstheme="minorEastAsia"/>
                <w:szCs w:val="21"/>
                <w:lang w:val="en-US" w:eastAsia="zh-CN"/>
              </w:rPr>
              <w:t>2012月30日，统计周期2020.9.30-2020.12.30</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变更的策划</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Q6.3</w:t>
            </w:r>
          </w:p>
        </w:tc>
        <w:tc>
          <w:tcPr>
            <w:tcW w:w="10004" w:type="dxa"/>
            <w:vAlign w:val="top"/>
          </w:tcPr>
          <w:p>
            <w:pPr>
              <w:ind w:firstLine="420" w:firstLineChars="200"/>
              <w:rPr>
                <w:rFonts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ind w:firstLine="420" w:firstLineChars="200"/>
            </w:pPr>
            <w:r>
              <w:rPr>
                <w:rFonts w:hint="eastAsia" w:asciiTheme="minorEastAsia" w:hAnsiTheme="minorEastAsia" w:eastAsiaTheme="minorEastAsia" w:cstheme="minorEastAsia"/>
                <w:szCs w:val="21"/>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体系运行平稳，至今未发生变更。</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960" w:type="dxa"/>
            <w:vAlign w:val="top"/>
          </w:tcPr>
          <w:p>
            <w:pPr>
              <w:spacing w:line="280" w:lineRule="exact"/>
              <w:rPr>
                <w:szCs w:val="21"/>
              </w:rPr>
            </w:pPr>
            <w:r>
              <w:rPr>
                <w:rFonts w:hint="eastAsia"/>
                <w:szCs w:val="21"/>
              </w:rPr>
              <w:t>Q7.1.1</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公司根据公司经营运行需要，配备了各岗位所需人员、经营用房屋、</w:t>
            </w:r>
            <w:r>
              <w:rPr>
                <w:rFonts w:hint="eastAsia"/>
                <w:lang w:val="en-US" w:eastAsia="zh-CN"/>
              </w:rPr>
              <w:t>绿化</w:t>
            </w:r>
            <w:r>
              <w:rPr>
                <w:rFonts w:hint="eastAsia"/>
              </w:rPr>
              <w:t>设备、办公设备（电脑、打印机等）</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经营运行资金等资源，体系建立至今，未发生资源不足影响满足客户要求的现象.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公司的生产地址位于：</w:t>
            </w:r>
            <w:r>
              <w:t>北京市大兴区生物医药基地天贵大街99号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租用办公房，面积</w:t>
            </w:r>
            <w:r>
              <w:rPr>
                <w:rFonts w:hint="eastAsia"/>
                <w:lang w:val="en-US" w:eastAsia="zh-CN"/>
              </w:rPr>
              <w:t>600</w:t>
            </w:r>
            <w:r>
              <w:rPr>
                <w:rFonts w:hint="eastAsia"/>
              </w:rPr>
              <w:t>平，见附件，租房协议，公司配备有</w:t>
            </w:r>
            <w:r>
              <w:rPr>
                <w:rFonts w:hint="eastAsia" w:ascii="宋体" w:hAnsi="宋体"/>
                <w:szCs w:val="21"/>
              </w:rPr>
              <w:t>城市园林绿化服务</w:t>
            </w:r>
            <w:r>
              <w:rPr>
                <w:rFonts w:hint="eastAsia"/>
              </w:rPr>
              <w:t>设备及办公配备。</w:t>
            </w:r>
          </w:p>
          <w:p>
            <w:pPr>
              <w:keepNext w:val="0"/>
              <w:keepLines w:val="0"/>
              <w:pageBreakBefore w:val="0"/>
              <w:widowControl w:val="0"/>
              <w:kinsoku/>
              <w:wordWrap/>
              <w:overflowPunct/>
              <w:topLinePunct w:val="0"/>
              <w:autoSpaceDE/>
              <w:autoSpaceDN/>
              <w:bidi w:val="0"/>
              <w:adjustRightInd/>
              <w:snapToGrid/>
              <w:textAlignment w:val="auto"/>
            </w:pPr>
            <w:r>
              <w:rPr>
                <w:rFonts w:hint="eastAsia" w:ascii="宋体" w:hAnsi="宋体" w:cs="宋体"/>
                <w:szCs w:val="21"/>
              </w:rPr>
              <w:t>部门：</w:t>
            </w:r>
            <w:r>
              <w:rPr>
                <w:rFonts w:hint="eastAsia"/>
              </w:rPr>
              <w:t>综合部、工程部、项目部</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color w:val="auto"/>
                <w:lang w:val="en-US" w:eastAsia="zh-CN"/>
              </w:rPr>
            </w:pPr>
            <w:r>
              <w:rPr>
                <w:rFonts w:hint="eastAsia"/>
              </w:rPr>
              <w:t>人员：</w:t>
            </w:r>
            <w:r>
              <w:rPr>
                <w:rFonts w:hint="eastAsia" w:ascii="宋体" w:hAnsi="宋体"/>
                <w:szCs w:val="21"/>
              </w:rPr>
              <w:t>管理</w:t>
            </w:r>
            <w:r>
              <w:rPr>
                <w:rFonts w:hint="eastAsia" w:ascii="宋体" w:hAnsi="宋体"/>
                <w:szCs w:val="21"/>
                <w:lang w:val="en-US" w:eastAsia="zh-CN"/>
              </w:rPr>
              <w:t>人员、绿化</w:t>
            </w:r>
            <w:r>
              <w:rPr>
                <w:rFonts w:hint="eastAsia"/>
                <w:lang w:val="en-US" w:eastAsia="zh-CN"/>
              </w:rPr>
              <w:t>人员</w:t>
            </w:r>
            <w:r>
              <w:rPr>
                <w:rFonts w:hint="eastAsia"/>
              </w:rPr>
              <w:t>、办公人员</w:t>
            </w:r>
            <w:r>
              <w:rPr>
                <w:rFonts w:hint="eastAsia"/>
                <w:lang w:eastAsia="zh-CN"/>
              </w:rPr>
              <w:t>、</w:t>
            </w:r>
            <w:r>
              <w:rPr>
                <w:rFonts w:hint="eastAsia"/>
                <w:lang w:val="en-US" w:eastAsia="zh-CN"/>
              </w:rPr>
              <w:t>销售服务人员等。</w:t>
            </w:r>
            <w:r>
              <w:rPr>
                <w:rFonts w:hint="eastAsia"/>
                <w:color w:val="auto"/>
                <w:lang w:val="en-US" w:eastAsia="zh-CN"/>
              </w:rPr>
              <w:t>查阅了人员资质证书，提供园林绿化管理资格证等，</w:t>
            </w:r>
            <w:r>
              <w:rPr>
                <w:rFonts w:hint="eastAsia"/>
                <w:color w:val="auto"/>
                <w:highlight w:val="none"/>
                <w:lang w:val="en-US" w:eastAsia="zh-CN"/>
              </w:rPr>
              <w:t>见附件</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pPr>
            <w:r>
              <w:rPr>
                <w:rFonts w:hint="default"/>
                <w:lang w:val="en-US" w:eastAsia="zh-CN"/>
              </w:rPr>
              <w:t>基础设施：办公用房，面积</w:t>
            </w:r>
            <w:r>
              <w:rPr>
                <w:rFonts w:hint="eastAsia"/>
                <w:lang w:val="en-US" w:eastAsia="zh-CN"/>
              </w:rPr>
              <w:t>600平米，房屋为租赁，有租赁合同</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pPr>
            <w:r>
              <w:rPr>
                <w:rFonts w:hint="default"/>
                <w:lang w:val="en-US" w:eastAsia="zh-CN"/>
              </w:rPr>
              <w:t>办公设备：电脑、打印机、扫描仪等</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pPr>
            <w:r>
              <w:rPr>
                <w:rFonts w:hint="eastAsia" w:ascii="宋体" w:hAnsi="宋体"/>
                <w:szCs w:val="21"/>
                <w:lang w:val="en-US" w:eastAsia="zh-CN"/>
              </w:rPr>
              <w:t>绿化服务设备</w:t>
            </w:r>
            <w:r>
              <w:rPr>
                <w:rFonts w:hint="eastAsia" w:ascii="宋体" w:hAnsi="宋体"/>
                <w:szCs w:val="21"/>
                <w:highlight w:val="none"/>
              </w:rPr>
              <w:t>；铁锹、铁镐、手据、园艺剪、割草机、粗枝剪、打草机等</w:t>
            </w:r>
          </w:p>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Theme="minorEastAsia" w:hAnsiTheme="minorEastAsia" w:eastAsiaTheme="minorEastAsia" w:cstheme="minorEastAsia"/>
                <w:bCs w:val="0"/>
                <w:color w:val="FF0000"/>
                <w:spacing w:val="10"/>
                <w:kern w:val="2"/>
                <w:sz w:val="21"/>
                <w:szCs w:val="21"/>
                <w:lang w:val="en-US" w:eastAsia="zh-CN" w:bidi="ar-SA"/>
              </w:rPr>
            </w:pPr>
            <w:r>
              <w:rPr>
                <w:rFonts w:hint="eastAsia"/>
                <w:lang w:val="en-US" w:eastAsia="zh-CN"/>
              </w:rPr>
              <w:t>资源满足需求</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Q9.1.1</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szCs w:val="21"/>
                <w:lang w:val="en-US" w:eastAsia="zh-CN"/>
              </w:rPr>
              <w:t>2020年第四</w:t>
            </w:r>
            <w:r>
              <w:rPr>
                <w:rFonts w:hint="eastAsia" w:asciiTheme="minorEastAsia" w:hAnsiTheme="minorEastAsia" w:eastAsiaTheme="minorEastAsia" w:cstheme="minorEastAsia"/>
                <w:szCs w:val="21"/>
              </w:rPr>
              <w:t>季度的管理目标指标的检查考核工作，均完成目标考核要求。</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目前未发现公司出现违规现象。无被动性绩效的监视和测量。</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管理评审</w:t>
            </w:r>
          </w:p>
        </w:tc>
        <w:tc>
          <w:tcPr>
            <w:tcW w:w="960" w:type="dxa"/>
            <w:vAlign w:val="top"/>
          </w:tcPr>
          <w:p>
            <w:pPr>
              <w:spacing w:line="280" w:lineRule="exact"/>
              <w:rPr>
                <w:szCs w:val="21"/>
              </w:rPr>
            </w:pPr>
            <w:r>
              <w:rPr>
                <w:rFonts w:hint="eastAsia"/>
                <w:szCs w:val="21"/>
              </w:rPr>
              <w:t>Q9.3</w:t>
            </w:r>
          </w:p>
          <w:p>
            <w:pPr>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pPr>
            <w:r>
              <w:rPr>
                <w:rFonts w:hint="eastAsia"/>
              </w:rPr>
              <w:t>公司于</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 xml:space="preserve">月21日 </w:t>
            </w:r>
          </w:p>
          <w:p>
            <w:pPr>
              <w:ind w:firstLine="420" w:firstLineChars="200"/>
            </w:pPr>
            <w:r>
              <w:rPr>
                <w:rFonts w:hint="eastAsia"/>
              </w:rPr>
              <w:t>依据：GB/T19001-2016标准进行管理评审。</w:t>
            </w:r>
          </w:p>
          <w:p>
            <w:r>
              <w:rPr>
                <w:rFonts w:hint="eastAsia"/>
              </w:rPr>
              <w:t>查阅公司管理评审资料：</w:t>
            </w:r>
          </w:p>
          <w:p>
            <w:r>
              <w:rPr>
                <w:rFonts w:hint="eastAsia"/>
              </w:rPr>
              <w:t>一、，综合部 20</w:t>
            </w:r>
            <w:r>
              <w:rPr>
                <w:rFonts w:hint="eastAsia"/>
                <w:lang w:val="en-US" w:eastAsia="zh-CN"/>
              </w:rPr>
              <w:t>20</w:t>
            </w:r>
            <w:r>
              <w:rPr>
                <w:rFonts w:hint="eastAsia"/>
              </w:rPr>
              <w:t>年</w:t>
            </w:r>
            <w:r>
              <w:rPr>
                <w:rFonts w:hint="eastAsia"/>
                <w:lang w:val="en-US" w:eastAsia="zh-CN"/>
              </w:rPr>
              <w:t>12</w:t>
            </w:r>
            <w:r>
              <w:rPr>
                <w:rFonts w:hint="eastAsia"/>
              </w:rPr>
              <w:t>月17日发布管理评审计划， 拟稿-综合部</w:t>
            </w:r>
            <w:r>
              <w:rPr>
                <w:rFonts w:hint="eastAsia"/>
                <w:lang w:eastAsia="zh-CN"/>
              </w:rPr>
              <w:t>，</w:t>
            </w:r>
            <w:r>
              <w:rPr>
                <w:rFonts w:hint="eastAsia"/>
              </w:rPr>
              <w:t>签发-</w:t>
            </w:r>
            <w:r>
              <w:rPr>
                <w:rFonts w:hint="eastAsia"/>
                <w:lang w:val="en-US" w:eastAsia="zh-CN"/>
              </w:rPr>
              <w:t>翁方强</w:t>
            </w:r>
            <w:r>
              <w:rPr>
                <w:rFonts w:hint="eastAsia"/>
              </w:rPr>
              <w:t>，评审方式：会议评审，拟评审时间：20</w:t>
            </w:r>
            <w:r>
              <w:rPr>
                <w:rFonts w:hint="eastAsia"/>
                <w:lang w:val="en-US" w:eastAsia="zh-CN"/>
              </w:rPr>
              <w:t>20</w:t>
            </w:r>
            <w:r>
              <w:rPr>
                <w:rFonts w:hint="eastAsia"/>
              </w:rPr>
              <w:t>年</w:t>
            </w:r>
            <w:r>
              <w:rPr>
                <w:rFonts w:hint="eastAsia"/>
                <w:lang w:val="en-US" w:eastAsia="zh-CN"/>
              </w:rPr>
              <w:t>12</w:t>
            </w:r>
            <w:r>
              <w:rPr>
                <w:rFonts w:hint="eastAsia"/>
              </w:rPr>
              <w:t>月21日。</w:t>
            </w:r>
          </w:p>
          <w:p>
            <w:r>
              <w:rPr>
                <w:rFonts w:hint="eastAsia"/>
              </w:rPr>
              <w:t>二、管理评审输入：</w:t>
            </w:r>
          </w:p>
          <w:p>
            <w:pPr>
              <w:ind w:firstLine="420" w:firstLineChars="200"/>
            </w:pPr>
            <w:r>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pPr>
            <w:r>
              <w:rPr>
                <w:rFonts w:hint="eastAsia"/>
              </w:rPr>
              <w:t>以上内容可通过会上口头发言及工作总结、汇报等形式体现。</w:t>
            </w:r>
          </w:p>
          <w:p>
            <w:pPr>
              <w:numPr>
                <w:ilvl w:val="0"/>
                <w:numId w:val="2"/>
              </w:numPr>
            </w:pPr>
            <w:r>
              <w:rPr>
                <w:rFonts w:hint="eastAsia"/>
              </w:rPr>
              <w:t>查看“管理评审报告”，报告中对本次管理评审做了总结，评价了公司建立、运行管理体系的效果。</w:t>
            </w:r>
          </w:p>
          <w:p>
            <w:pPr>
              <w:rPr>
                <w:rFonts w:cs="Lucida Sans"/>
                <w:b/>
              </w:rPr>
            </w:pPr>
            <w:r>
              <w:rPr>
                <w:rFonts w:hint="eastAsia"/>
              </w:rPr>
              <w:t>参会人员：翁方强</w:t>
            </w:r>
            <w:r>
              <w:rPr>
                <w:rFonts w:hint="eastAsia"/>
                <w:lang w:eastAsia="zh-CN"/>
              </w:rPr>
              <w:t>、</w:t>
            </w:r>
            <w:r>
              <w:rPr>
                <w:rFonts w:hint="eastAsia"/>
              </w:rPr>
              <w:t>冯俊</w:t>
            </w:r>
            <w:r>
              <w:rPr>
                <w:rFonts w:hint="eastAsia"/>
                <w:lang w:eastAsia="zh-CN"/>
              </w:rPr>
              <w:t>、</w:t>
            </w:r>
            <w:r>
              <w:rPr>
                <w:rFonts w:hint="eastAsia"/>
              </w:rPr>
              <w:t>吴家林</w:t>
            </w:r>
            <w:r>
              <w:rPr>
                <w:rFonts w:hint="eastAsia"/>
                <w:lang w:eastAsia="zh-CN"/>
              </w:rPr>
              <w:t>、</w:t>
            </w:r>
            <w:r>
              <w:rPr>
                <w:rFonts w:hint="eastAsia"/>
              </w:rPr>
              <w:t>朝泽海</w:t>
            </w:r>
            <w:r>
              <w:rPr>
                <w:rFonts w:hint="eastAsia"/>
                <w:lang w:eastAsia="zh-CN"/>
              </w:rPr>
              <w:t>、</w:t>
            </w:r>
            <w:r>
              <w:rPr>
                <w:rFonts w:hint="eastAsia"/>
                <w:lang w:val="en-US" w:eastAsia="zh-CN"/>
              </w:rPr>
              <w:t>冯俊明、</w:t>
            </w:r>
            <w:r>
              <w:rPr>
                <w:rFonts w:hint="eastAsia"/>
              </w:rPr>
              <w:t>张萍等</w:t>
            </w:r>
          </w:p>
          <w:p>
            <w:r>
              <w:rPr>
                <w:rFonts w:hint="eastAsia"/>
              </w:rPr>
              <w:t>四、管理评审输出/评审结论：</w:t>
            </w:r>
          </w:p>
          <w:p>
            <w:r>
              <w:rPr>
                <w:rFonts w:hint="eastAsia"/>
              </w:rPr>
              <w:t>通过本次评审，最终得出本公司管理体系是适宜的、充分的、有效的，方针和目标是适宜的和有效的。提出了管理评审改进决议：</w:t>
            </w:r>
          </w:p>
          <w:p>
            <w:r>
              <w:rPr>
                <w:rFonts w:hint="eastAsia"/>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r>
              <w:rPr>
                <w:rFonts w:hint="eastAsia"/>
              </w:rPr>
              <w:t>2、加强内部管理，提高人员综合素质。改进措施包括（1）制定年度培训计划，策划并实施5S管理、成本管理、绩效管理、生产管理、项目管理等方面的培训。（2）培训的实施，并评估培训效果。</w:t>
            </w:r>
          </w:p>
          <w:p>
            <w:r>
              <w:rPr>
                <w:rFonts w:hint="eastAsia"/>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hint="eastAsia" w:ascii="Times New Roman" w:hAnsi="Times New Roman" w:cs="Times New Roman" w:eastAsiaTheme="minorEastAsia"/>
                <w:bCs/>
                <w:spacing w:val="10"/>
                <w:kern w:val="2"/>
                <w:sz w:val="21"/>
                <w:lang w:val="en-US" w:eastAsia="zh-CN" w:bidi="ar-SA"/>
              </w:rPr>
            </w:pPr>
            <w:r>
              <w:rPr>
                <w:rFonts w:hint="eastAsia" w:asciiTheme="minorEastAsia" w:hAnsiTheme="minorEastAsia" w:eastAsiaTheme="minorEastAsia" w:cstheme="minorEastAsia"/>
                <w:bCs w:val="0"/>
                <w:szCs w:val="21"/>
              </w:rPr>
              <w:t>基本符合。</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体系的运行现状及改进的要求</w:t>
            </w:r>
          </w:p>
        </w:tc>
        <w:tc>
          <w:tcPr>
            <w:tcW w:w="960" w:type="dxa"/>
            <w:vAlign w:val="top"/>
          </w:tcPr>
          <w:p>
            <w:pPr>
              <w:spacing w:line="280" w:lineRule="exact"/>
              <w:rPr>
                <w:szCs w:val="21"/>
              </w:rPr>
            </w:pPr>
            <w:r>
              <w:rPr>
                <w:rFonts w:hint="eastAsia"/>
                <w:szCs w:val="21"/>
              </w:rPr>
              <w:t>Q10.1</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 xml:space="preserve"> ——具体事实可见审核10.2条款记录。</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Cs w:val="21"/>
              </w:rPr>
              <w:t>持续改进</w:t>
            </w:r>
          </w:p>
        </w:tc>
        <w:tc>
          <w:tcPr>
            <w:tcW w:w="960" w:type="dxa"/>
            <w:vAlign w:val="top"/>
          </w:tcPr>
          <w:p>
            <w:pPr>
              <w:spacing w:line="280" w:lineRule="exact"/>
              <w:rPr>
                <w:szCs w:val="21"/>
              </w:rPr>
            </w:pPr>
            <w:r>
              <w:rPr>
                <w:rFonts w:hint="eastAsia"/>
                <w:szCs w:val="21"/>
              </w:rPr>
              <w:t>Q10.3</w:t>
            </w:r>
          </w:p>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ind w:firstLine="420" w:firstLineChars="200"/>
            </w:pPr>
            <w:r>
              <w:rPr>
                <w:rFonts w:hint="eastAsia"/>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pPr>
            <w:r>
              <w:rPr>
                <w:rFonts w:hint="eastAsia"/>
              </w:rPr>
              <w:t>为确保公司提供给客户合格的产品和服务，公司开展检查和考核工作。</w:t>
            </w:r>
          </w:p>
          <w:p>
            <w:r>
              <w:rPr>
                <w:rFonts w:hint="eastAsia"/>
              </w:rPr>
              <w:t>根据不同过程、不同产品和不同要求，采取不同的方法进行监视、测量和分析。无其他不符合发生。</w:t>
            </w:r>
          </w:p>
          <w:p>
            <w:pPr>
              <w:ind w:firstLine="420" w:firstLineChars="200"/>
            </w:pPr>
            <w:r>
              <w:rPr>
                <w:rFonts w:hint="eastAsia"/>
              </w:rPr>
              <w:t>公司利用质量方针、目标、内审和外审、数据分析、纠正和预防措施以及管理评审，识别任何改进的机会，持续改进质量管理体系的适宜性、充分性和有效性。</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Theme="minorEastAsia" w:hAnsiTheme="minorEastAsia" w:eastAsiaTheme="minorEastAsia" w:cstheme="minorEastAsia"/>
                <w:szCs w:val="21"/>
              </w:rPr>
              <w:t>通过交谈，基本能清楚纠正和预防措施的控制要求。改进的示例包括纠正、纠正措施、持续改进、创新等。</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60" w:type="dxa"/>
            <w:vAlign w:val="top"/>
          </w:tcPr>
          <w:p>
            <w:pPr>
              <w:rPr>
                <w:rFonts w:hint="eastAsia" w:asciiTheme="minorEastAsia" w:hAnsiTheme="minorEastAsia" w:eastAsiaTheme="minorEastAsia" w:cstheme="minorEastAsia"/>
                <w:kern w:val="2"/>
                <w:sz w:val="21"/>
                <w:szCs w:val="21"/>
                <w:lang w:val="en-US" w:eastAsia="zh-CN" w:bidi="ar-SA"/>
              </w:rPr>
            </w:pPr>
            <w:bookmarkStart w:id="0" w:name="_GoBack" w:colFirst="0" w:colLast="2"/>
            <w:r>
              <w:rPr>
                <w:rFonts w:hint="eastAsia"/>
                <w:sz w:val="24"/>
                <w:szCs w:val="24"/>
              </w:rPr>
              <w:t>上次审核问题验证/投诉或事故/政府主管部门监督抽查情况</w:t>
            </w:r>
          </w:p>
        </w:tc>
        <w:tc>
          <w:tcPr>
            <w:tcW w:w="960" w:type="dxa"/>
            <w:vAlign w:val="top"/>
          </w:tcPr>
          <w:p>
            <w:pPr>
              <w:rPr>
                <w:rFonts w:hint="eastAsia" w:asciiTheme="minorEastAsia" w:hAnsiTheme="minorEastAsia" w:eastAsiaTheme="minorEastAsia" w:cstheme="minorEastAsia"/>
                <w:kern w:val="2"/>
                <w:sz w:val="21"/>
                <w:szCs w:val="21"/>
                <w:lang w:val="en-US" w:eastAsia="zh-CN" w:bidi="ar-SA"/>
              </w:rPr>
            </w:pPr>
          </w:p>
        </w:tc>
        <w:tc>
          <w:tcPr>
            <w:tcW w:w="10004" w:type="dxa"/>
            <w:vAlign w:val="center"/>
          </w:tcPr>
          <w:p>
            <w:pPr>
              <w:spacing w:line="240" w:lineRule="exact"/>
              <w:ind w:firstLine="420" w:firstLineChars="200"/>
              <w:rPr>
                <w:rFonts w:hint="default" w:ascii="Times New Roman" w:hAnsi="Times New Roman" w:eastAsia="宋体" w:cs="Times New Roman"/>
                <w:color w:val="auto"/>
                <w:lang w:val="en-US" w:eastAsia="zh-CN"/>
              </w:rPr>
            </w:pPr>
            <w:r>
              <w:rPr>
                <w:rFonts w:hint="eastAsia"/>
              </w:rPr>
              <w:t>上次审核问题：</w:t>
            </w:r>
            <w:r>
              <w:rPr>
                <w:rFonts w:hint="eastAsia" w:ascii="Times New Roman" w:hAnsi="Times New Roman" w:eastAsia="宋体" w:cs="Times New Roman"/>
                <w:color w:val="auto"/>
                <w:lang w:eastAsia="zh-CN"/>
              </w:rPr>
              <w:t>查</w:t>
            </w:r>
            <w:r>
              <w:rPr>
                <w:rFonts w:hint="eastAsia" w:ascii="Times New Roman" w:hAnsi="Times New Roman" w:eastAsia="宋体" w:cs="Times New Roman"/>
                <w:color w:val="auto"/>
                <w:lang w:val="en-US" w:eastAsia="zh-CN"/>
              </w:rPr>
              <w:t>综合部</w:t>
            </w:r>
            <w:r>
              <w:rPr>
                <w:rFonts w:hint="eastAsia" w:ascii="Times New Roman" w:hAnsi="Times New Roman" w:eastAsia="宋体" w:cs="Times New Roman"/>
                <w:color w:val="auto"/>
                <w:lang w:eastAsia="zh-CN"/>
              </w:rPr>
              <w:t>办公现场，办公室没有</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禁止吸烟“的警示标识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本次审核未再次出现，整改有效</w:t>
            </w:r>
          </w:p>
          <w:p>
            <w:pPr>
              <w:spacing w:line="280" w:lineRule="exact"/>
            </w:pPr>
          </w:p>
          <w:p>
            <w:pPr>
              <w:pStyle w:val="2"/>
            </w:pPr>
            <w:r>
              <w:rPr>
                <w:rFonts w:hint="eastAsia"/>
              </w:rPr>
              <w:t>公司管理体系自运行以来，未发生环境、职业健康安全事故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目前没有上级主管部门对公司的在环境、职业健康安全监督抽查</w:t>
            </w:r>
          </w:p>
          <w:p>
            <w:pPr>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rPr>
              <w:t>目前公司经营过程中没有发生违反相关法律法规及其他要求的情况</w:t>
            </w:r>
          </w:p>
        </w:tc>
        <w:tc>
          <w:tcPr>
            <w:tcW w:w="1585" w:type="dxa"/>
          </w:tcPr>
          <w:p>
            <w:pPr>
              <w:rPr>
                <w:rFonts w:hint="eastAsia"/>
                <w:lang w:val="en-US" w:eastAsia="zh-CN"/>
              </w:rPr>
            </w:pPr>
          </w:p>
        </w:tc>
      </w:tr>
      <w:bookmarkEnd w:id="0"/>
    </w:tbl>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80B8F"/>
    <w:rsid w:val="07D27710"/>
    <w:rsid w:val="0C1105AE"/>
    <w:rsid w:val="0DDC0A33"/>
    <w:rsid w:val="0EAA5204"/>
    <w:rsid w:val="133A642F"/>
    <w:rsid w:val="14CF7619"/>
    <w:rsid w:val="186F428E"/>
    <w:rsid w:val="1B7A0A38"/>
    <w:rsid w:val="1C7D3768"/>
    <w:rsid w:val="1D6F7058"/>
    <w:rsid w:val="22D01975"/>
    <w:rsid w:val="24874F61"/>
    <w:rsid w:val="2D1A5EC3"/>
    <w:rsid w:val="2F806DEC"/>
    <w:rsid w:val="31D23772"/>
    <w:rsid w:val="32A3775C"/>
    <w:rsid w:val="33CA6CEC"/>
    <w:rsid w:val="369E07E8"/>
    <w:rsid w:val="3C0E5582"/>
    <w:rsid w:val="3DB45ED3"/>
    <w:rsid w:val="4C352A91"/>
    <w:rsid w:val="4D273C5A"/>
    <w:rsid w:val="50E10CB8"/>
    <w:rsid w:val="5159215F"/>
    <w:rsid w:val="52DD3E9B"/>
    <w:rsid w:val="53415311"/>
    <w:rsid w:val="5752059B"/>
    <w:rsid w:val="579F0AFD"/>
    <w:rsid w:val="5AD6434A"/>
    <w:rsid w:val="60E71505"/>
    <w:rsid w:val="622542CF"/>
    <w:rsid w:val="62B104A3"/>
    <w:rsid w:val="62B92C34"/>
    <w:rsid w:val="63AC1BDD"/>
    <w:rsid w:val="64B37BE7"/>
    <w:rsid w:val="683443B7"/>
    <w:rsid w:val="70B66372"/>
    <w:rsid w:val="798704CE"/>
    <w:rsid w:val="7F144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info-content-tex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2021-06-02T15:14:54Z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B4871B7D05CF4D5E9666124C1466F28E</vt:lpwstr>
  </property>
</Properties>
</file>