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inorEastAsia" w:hAnsiTheme="minorEastAsia" w:eastAsiaTheme="minorEastAsia"/>
          <w:bCs/>
          <w:color w:val="000000"/>
          <w:sz w:val="36"/>
          <w:szCs w:val="36"/>
        </w:rPr>
      </w:pPr>
      <w:r>
        <w:rPr>
          <w:rFonts w:hint="eastAsia" w:asciiTheme="minorEastAsia" w:hAnsiTheme="minorEastAsia" w:eastAsiaTheme="minorEastAsia"/>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851"/>
        <w:gridCol w:w="1134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过程与活动、</w:t>
            </w:r>
          </w:p>
          <w:p>
            <w:pPr>
              <w:jc w:val="center"/>
              <w:rPr>
                <w:rFonts w:asciiTheme="minorEastAsia" w:hAnsiTheme="minorEastAsia" w:eastAsiaTheme="minorEastAsia"/>
              </w:rPr>
            </w:pPr>
            <w:r>
              <w:rPr>
                <w:rFonts w:hint="eastAsia" w:asciiTheme="minorEastAsia" w:hAnsiTheme="minorEastAsia" w:eastAsiaTheme="minorEastAsia"/>
                <w:sz w:val="24"/>
                <w:szCs w:val="24"/>
              </w:rPr>
              <w:t>抽样计划</w:t>
            </w:r>
          </w:p>
        </w:tc>
        <w:tc>
          <w:tcPr>
            <w:tcW w:w="851" w:type="dxa"/>
            <w:vMerge w:val="restart"/>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涉及</w:t>
            </w:r>
          </w:p>
          <w:p>
            <w:pPr>
              <w:rPr>
                <w:rFonts w:asciiTheme="minorEastAsia" w:hAnsiTheme="minorEastAsia" w:eastAsiaTheme="minorEastAsia"/>
              </w:rPr>
            </w:pPr>
            <w:r>
              <w:rPr>
                <w:rFonts w:hint="eastAsia" w:asciiTheme="minorEastAsia" w:hAnsiTheme="minorEastAsia" w:eastAsiaTheme="minorEastAsia"/>
                <w:sz w:val="24"/>
                <w:szCs w:val="24"/>
              </w:rPr>
              <w:t>条款</w:t>
            </w:r>
          </w:p>
        </w:tc>
        <w:tc>
          <w:tcPr>
            <w:tcW w:w="11340" w:type="dxa"/>
            <w:vAlign w:val="center"/>
          </w:tcPr>
          <w:p>
            <w:pPr>
              <w:spacing w:line="360" w:lineRule="auto"/>
              <w:rPr>
                <w:rFonts w:hint="default" w:eastAsia="宋体"/>
                <w:color w:val="auto"/>
                <w:szCs w:val="21"/>
                <w:lang w:val="en-US" w:eastAsia="zh-CN"/>
              </w:rPr>
            </w:pPr>
            <w:r>
              <w:rPr>
                <w:rFonts w:hint="eastAsia"/>
                <w:szCs w:val="21"/>
              </w:rPr>
              <w:t>受审核部门：</w:t>
            </w:r>
            <w:r>
              <w:rPr>
                <w:rFonts w:hint="eastAsia" w:ascii="宋体" w:hAnsi="宋体" w:cs="Times New Roman"/>
                <w:sz w:val="21"/>
                <w:szCs w:val="21"/>
              </w:rPr>
              <w:t>管理层、</w:t>
            </w:r>
            <w:r>
              <w:rPr>
                <w:rFonts w:hint="eastAsia" w:ascii="宋体" w:hAnsi="宋体" w:cs="Times New Roman"/>
                <w:sz w:val="21"/>
                <w:szCs w:val="21"/>
                <w:lang w:val="en-US" w:eastAsia="zh-CN"/>
              </w:rPr>
              <w:t>行政</w:t>
            </w:r>
            <w:r>
              <w:rPr>
                <w:rFonts w:hint="eastAsia" w:ascii="宋体" w:hAnsi="宋体" w:cs="Times New Roman"/>
                <w:sz w:val="21"/>
                <w:szCs w:val="21"/>
              </w:rPr>
              <w:t>部、</w:t>
            </w:r>
            <w:r>
              <w:rPr>
                <w:rFonts w:hint="eastAsia" w:ascii="宋体" w:hAnsi="宋体" w:cs="Times New Roman"/>
                <w:sz w:val="21"/>
                <w:szCs w:val="21"/>
                <w:lang w:val="en-US" w:eastAsia="zh-CN"/>
              </w:rPr>
              <w:t>供销部</w:t>
            </w:r>
            <w:r>
              <w:rPr>
                <w:rFonts w:hint="eastAsia" w:ascii="宋体" w:hAnsi="宋体" w:cs="Times New Roman"/>
                <w:sz w:val="21"/>
                <w:szCs w:val="21"/>
              </w:rPr>
              <w:t>、</w:t>
            </w:r>
            <w:r>
              <w:rPr>
                <w:rFonts w:hint="eastAsia" w:ascii="宋体" w:hAnsi="宋体" w:cs="Times New Roman"/>
                <w:sz w:val="21"/>
                <w:szCs w:val="21"/>
                <w:lang w:val="en-US" w:eastAsia="zh-CN"/>
              </w:rPr>
              <w:t>工程</w:t>
            </w:r>
            <w:r>
              <w:rPr>
                <w:rFonts w:hint="eastAsia" w:ascii="宋体" w:hAnsi="宋体" w:cs="Times New Roman"/>
                <w:sz w:val="21"/>
                <w:szCs w:val="21"/>
              </w:rPr>
              <w:t>部</w:t>
            </w:r>
          </w:p>
          <w:p>
            <w:pPr>
              <w:spacing w:line="360" w:lineRule="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cstheme="minorEastAsia"/>
                <w:sz w:val="21"/>
                <w:szCs w:val="21"/>
                <w:lang w:val="en-US" w:eastAsia="zh-CN"/>
              </w:rPr>
              <w:t>总经理</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 xml:space="preserve">祁佰忱  管代：马钰     </w:t>
            </w:r>
            <w:r>
              <w:rPr>
                <w:rFonts w:hint="eastAsia" w:asciiTheme="minorEastAsia" w:hAnsiTheme="minorEastAsia" w:eastAsiaTheme="minorEastAsia" w:cstheme="minorEastAsia"/>
                <w:sz w:val="21"/>
                <w:szCs w:val="21"/>
              </w:rPr>
              <w:t xml:space="preserve"> 陪同人员：</w:t>
            </w:r>
            <w:r>
              <w:rPr>
                <w:rFonts w:hint="eastAsia" w:asciiTheme="minorEastAsia" w:hAnsiTheme="minorEastAsia" w:eastAsiaTheme="minorEastAsia" w:cstheme="minorEastAsia"/>
                <w:sz w:val="21"/>
                <w:szCs w:val="21"/>
                <w:lang w:val="en-US" w:eastAsia="zh-CN"/>
              </w:rPr>
              <w:t>李佩佩</w:t>
            </w:r>
          </w:p>
        </w:tc>
        <w:tc>
          <w:tcPr>
            <w:tcW w:w="709" w:type="dxa"/>
            <w:vMerge w:val="restart"/>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rFonts w:asciiTheme="minorEastAsia" w:hAnsiTheme="minorEastAsia" w:eastAsiaTheme="minorEastAsia"/>
              </w:rPr>
            </w:pPr>
          </w:p>
        </w:tc>
        <w:tc>
          <w:tcPr>
            <w:tcW w:w="851" w:type="dxa"/>
            <w:vMerge w:val="continue"/>
            <w:vAlign w:val="center"/>
          </w:tcPr>
          <w:p>
            <w:pPr>
              <w:rPr>
                <w:rFonts w:asciiTheme="minorEastAsia" w:hAnsiTheme="minorEastAsia" w:eastAsiaTheme="minorEastAsia"/>
              </w:rPr>
            </w:pPr>
          </w:p>
        </w:tc>
        <w:tc>
          <w:tcPr>
            <w:tcW w:w="11340" w:type="dxa"/>
            <w:vAlign w:val="center"/>
          </w:tcPr>
          <w:p>
            <w:pPr>
              <w:spacing w:before="120" w:line="360" w:lineRule="auto"/>
              <w:rPr>
                <w:rFonts w:hint="default" w:asciiTheme="minorEastAsia" w:hAnsiTheme="minorEastAsia" w:eastAsiaTheme="minorEastAsia"/>
                <w:lang w:val="en-US" w:eastAsia="zh-CN"/>
              </w:rPr>
            </w:pPr>
            <w:r>
              <w:rPr>
                <w:rFonts w:hint="eastAsia"/>
                <w:szCs w:val="21"/>
              </w:rPr>
              <w:t>审核员：李俐</w:t>
            </w:r>
            <w:r>
              <w:rPr>
                <w:szCs w:val="21"/>
              </w:rPr>
              <w:t xml:space="preserve">   </w:t>
            </w:r>
            <w:r>
              <w:rPr>
                <w:rFonts w:hint="eastAsia"/>
                <w:szCs w:val="21"/>
                <w:lang w:val="en-US" w:eastAsia="zh-CN"/>
              </w:rPr>
              <w:t xml:space="preserve">        </w:t>
            </w:r>
            <w:r>
              <w:rPr>
                <w:szCs w:val="21"/>
              </w:rPr>
              <w:t xml:space="preserve"> </w:t>
            </w:r>
            <w:r>
              <w:rPr>
                <w:rFonts w:hint="eastAsia"/>
                <w:szCs w:val="21"/>
              </w:rPr>
              <w:t>审核时间：</w:t>
            </w:r>
            <w:r>
              <w:rPr>
                <w:szCs w:val="21"/>
              </w:rPr>
              <w:t xml:space="preserve"> </w:t>
            </w:r>
            <w:r>
              <w:rPr>
                <w:rFonts w:hint="eastAsia"/>
                <w:szCs w:val="21"/>
              </w:rPr>
              <w:t>20</w:t>
            </w:r>
            <w:r>
              <w:rPr>
                <w:rFonts w:hint="eastAsia"/>
                <w:szCs w:val="21"/>
                <w:lang w:val="en-US" w:eastAsia="zh-CN"/>
              </w:rPr>
              <w:t>21</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24日</w:t>
            </w:r>
          </w:p>
        </w:tc>
        <w:tc>
          <w:tcPr>
            <w:tcW w:w="709" w:type="dxa"/>
            <w:vMerge w:val="continue"/>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rFonts w:asciiTheme="minorEastAsia" w:hAnsiTheme="minorEastAsia" w:eastAsiaTheme="minorEastAsia"/>
              </w:rPr>
            </w:pPr>
          </w:p>
        </w:tc>
        <w:tc>
          <w:tcPr>
            <w:tcW w:w="851" w:type="dxa"/>
            <w:vMerge w:val="continue"/>
            <w:vAlign w:val="center"/>
          </w:tcPr>
          <w:p>
            <w:pPr>
              <w:rPr>
                <w:rFonts w:asciiTheme="minorEastAsia" w:hAnsiTheme="minorEastAsia" w:eastAsiaTheme="minorEastAsia"/>
              </w:rPr>
            </w:pPr>
          </w:p>
        </w:tc>
        <w:tc>
          <w:tcPr>
            <w:tcW w:w="11340" w:type="dxa"/>
            <w:vAlign w:val="center"/>
          </w:tcPr>
          <w:p>
            <w:pPr>
              <w:rPr>
                <w:rFonts w:asciiTheme="minorEastAsia" w:hAnsiTheme="minorEastAsia" w:eastAsiaTheme="minorEastAsia"/>
                <w:sz w:val="24"/>
                <w:szCs w:val="24"/>
              </w:rPr>
            </w:pPr>
            <w:r>
              <w:rPr>
                <w:rFonts w:hint="eastAsia"/>
                <w:szCs w:val="21"/>
              </w:rPr>
              <w:t>审核条款：</w:t>
            </w:r>
            <w:r>
              <w:rPr>
                <w:rFonts w:hint="eastAsia"/>
                <w:szCs w:val="21"/>
                <w:lang w:val="en-US" w:eastAsia="zh-CN"/>
              </w:rPr>
              <w:t>略</w:t>
            </w:r>
          </w:p>
        </w:tc>
        <w:tc>
          <w:tcPr>
            <w:tcW w:w="709" w:type="dxa"/>
            <w:vMerge w:val="continue"/>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tcPr>
          <w:p>
            <w:pPr>
              <w:autoSpaceDE w:val="0"/>
              <w:autoSpaceDN w:val="0"/>
              <w:adjustRightInd w:val="0"/>
              <w:spacing w:line="42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zh-CN"/>
              </w:rPr>
              <w:t>企业名称确认</w:t>
            </w:r>
          </w:p>
          <w:p>
            <w:pPr>
              <w:autoSpaceDE w:val="0"/>
              <w:autoSpaceDN w:val="0"/>
              <w:adjustRightInd w:val="0"/>
              <w:spacing w:line="420" w:lineRule="exact"/>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地址（包括注册地址、营业执照、组织机构代码证、相关资质的有效性确认）</w:t>
            </w:r>
          </w:p>
          <w:p>
            <w:pPr>
              <w:autoSpaceDE w:val="0"/>
              <w:autoSpaceDN w:val="0"/>
              <w:adjustRightInd w:val="0"/>
              <w:spacing w:line="420" w:lineRule="exact"/>
              <w:rPr>
                <w:rFonts w:cs="宋体" w:asciiTheme="minorEastAsia" w:hAnsiTheme="minorEastAsia" w:eastAsiaTheme="minorEastAsia"/>
                <w:kern w:val="0"/>
                <w:szCs w:val="21"/>
                <w:lang w:val="zh-CN"/>
              </w:rPr>
            </w:pPr>
          </w:p>
          <w:p>
            <w:pPr>
              <w:autoSpaceDE w:val="0"/>
              <w:autoSpaceDN w:val="0"/>
              <w:adjustRightInd w:val="0"/>
              <w:spacing w:line="420" w:lineRule="exact"/>
              <w:rPr>
                <w:rFonts w:cs="宋体" w:asciiTheme="minorEastAsia" w:hAnsiTheme="minorEastAsia" w:eastAsiaTheme="minorEastAsia"/>
                <w:kern w:val="0"/>
                <w:szCs w:val="21"/>
              </w:rPr>
            </w:pPr>
          </w:p>
          <w:p>
            <w:pPr>
              <w:autoSpaceDE w:val="0"/>
              <w:autoSpaceDN w:val="0"/>
              <w:adjustRightInd w:val="0"/>
              <w:spacing w:line="42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zh-CN"/>
              </w:rPr>
              <w:t>管理QJEO体系运行起始日</w:t>
            </w:r>
          </w:p>
          <w:p>
            <w:pPr>
              <w:autoSpaceDE w:val="0"/>
              <w:autoSpaceDN w:val="0"/>
              <w:adjustRightInd w:val="0"/>
              <w:spacing w:line="42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zh-CN"/>
              </w:rPr>
              <w:t>文件、质量记录</w:t>
            </w:r>
          </w:p>
          <w:p>
            <w:pPr>
              <w:autoSpaceDE w:val="0"/>
              <w:autoSpaceDN w:val="0"/>
              <w:adjustRightInd w:val="0"/>
              <w:spacing w:line="42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zh-CN"/>
              </w:rPr>
              <w:t>确认组织实际与管理体系文件描述的一致性</w:t>
            </w:r>
          </w:p>
          <w:p>
            <w:pPr>
              <w:autoSpaceDE w:val="0"/>
              <w:autoSpaceDN w:val="0"/>
              <w:adjustRightInd w:val="0"/>
              <w:spacing w:line="42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zh-CN"/>
              </w:rPr>
              <w:t>组织机构（如部门设置和负责人，认证范围等</w:t>
            </w:r>
          </w:p>
          <w:p>
            <w:pPr>
              <w:autoSpaceDE w:val="0"/>
              <w:autoSpaceDN w:val="0"/>
              <w:adjustRightInd w:val="0"/>
              <w:spacing w:line="42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zh-CN"/>
              </w:rPr>
              <w:t>顾客及相关方投诉</w:t>
            </w:r>
          </w:p>
          <w:p>
            <w:pPr>
              <w:autoSpaceDE w:val="0"/>
              <w:autoSpaceDN w:val="0"/>
              <w:adjustRightInd w:val="0"/>
              <w:spacing w:line="420" w:lineRule="exact"/>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企业QJEO方针、</w:t>
            </w:r>
            <w:r>
              <w:rPr>
                <w:rFonts w:hint="eastAsia" w:cs="宋体" w:asciiTheme="minorEastAsia" w:hAnsiTheme="minorEastAsia" w:eastAsiaTheme="minorEastAsia"/>
                <w:szCs w:val="21"/>
                <w:lang w:val="zh-CN"/>
              </w:rPr>
              <w:t>目标的策划和实施情况</w:t>
            </w:r>
          </w:p>
          <w:p>
            <w:pPr>
              <w:autoSpaceDE w:val="0"/>
              <w:autoSpaceDN w:val="0"/>
              <w:adjustRightInd w:val="0"/>
              <w:spacing w:line="420" w:lineRule="exact"/>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内审、管理评审</w:t>
            </w:r>
          </w:p>
          <w:p>
            <w:pPr>
              <w:autoSpaceDE w:val="0"/>
              <w:autoSpaceDN w:val="0"/>
              <w:adjustRightInd w:val="0"/>
              <w:spacing w:line="420" w:lineRule="exact"/>
              <w:rPr>
                <w:rFonts w:cs="宋体" w:asciiTheme="minorEastAsia" w:hAnsiTheme="minorEastAsia" w:eastAsiaTheme="minorEastAsia"/>
                <w:kern w:val="0"/>
                <w:szCs w:val="21"/>
                <w:lang w:val="zh-CN"/>
              </w:rPr>
            </w:pPr>
          </w:p>
          <w:p>
            <w:pPr>
              <w:autoSpaceDE w:val="0"/>
              <w:autoSpaceDN w:val="0"/>
              <w:adjustRightInd w:val="0"/>
              <w:spacing w:line="420" w:lineRule="exact"/>
              <w:rPr>
                <w:rFonts w:cs="宋体" w:asciiTheme="minorEastAsia" w:hAnsiTheme="minorEastAsia" w:eastAsiaTheme="minorEastAsia"/>
                <w:kern w:val="0"/>
                <w:szCs w:val="21"/>
                <w:lang w:val="zh-CN"/>
              </w:rPr>
            </w:pPr>
          </w:p>
          <w:p>
            <w:pPr>
              <w:autoSpaceDE w:val="0"/>
              <w:autoSpaceDN w:val="0"/>
              <w:adjustRightInd w:val="0"/>
              <w:spacing w:line="420" w:lineRule="exact"/>
              <w:rPr>
                <w:rFonts w:cs="宋体" w:asciiTheme="minorEastAsia" w:hAnsiTheme="minorEastAsia" w:eastAsiaTheme="minorEastAsia"/>
                <w:kern w:val="0"/>
                <w:szCs w:val="21"/>
              </w:rPr>
            </w:pPr>
          </w:p>
          <w:p>
            <w:pPr>
              <w:autoSpaceDE w:val="0"/>
              <w:autoSpaceDN w:val="0"/>
              <w:adjustRightInd w:val="0"/>
              <w:spacing w:line="420" w:lineRule="exact"/>
              <w:rPr>
                <w:rFonts w:cs="宋体" w:asciiTheme="minorEastAsia" w:hAnsiTheme="minorEastAsia" w:eastAsiaTheme="minorEastAsia"/>
                <w:kern w:val="0"/>
                <w:szCs w:val="21"/>
              </w:rPr>
            </w:pPr>
          </w:p>
          <w:p>
            <w:pPr>
              <w:autoSpaceDE w:val="0"/>
              <w:autoSpaceDN w:val="0"/>
              <w:adjustRightInd w:val="0"/>
              <w:spacing w:line="420" w:lineRule="exact"/>
              <w:rPr>
                <w:rFonts w:cs="宋体" w:asciiTheme="minorEastAsia" w:hAnsiTheme="minorEastAsia" w:eastAsiaTheme="minorEastAsia"/>
                <w:kern w:val="0"/>
                <w:szCs w:val="21"/>
              </w:rPr>
            </w:pPr>
          </w:p>
          <w:p>
            <w:pPr>
              <w:autoSpaceDE w:val="0"/>
              <w:autoSpaceDN w:val="0"/>
              <w:adjustRightInd w:val="0"/>
              <w:spacing w:line="420" w:lineRule="exact"/>
              <w:rPr>
                <w:rFonts w:cs="宋体" w:asciiTheme="minorEastAsia" w:hAnsiTheme="minorEastAsia" w:eastAsiaTheme="minorEastAsia"/>
                <w:kern w:val="0"/>
                <w:szCs w:val="21"/>
              </w:rPr>
            </w:pPr>
          </w:p>
          <w:p>
            <w:pPr>
              <w:autoSpaceDE w:val="0"/>
              <w:autoSpaceDN w:val="0"/>
              <w:adjustRightInd w:val="0"/>
              <w:spacing w:line="420" w:lineRule="exact"/>
              <w:rPr>
                <w:rFonts w:cs="宋体" w:asciiTheme="minorEastAsia" w:hAnsiTheme="minorEastAsia" w:eastAsiaTheme="minorEastAsia"/>
                <w:kern w:val="0"/>
                <w:szCs w:val="21"/>
              </w:rPr>
            </w:pPr>
          </w:p>
          <w:p>
            <w:pPr>
              <w:autoSpaceDE w:val="0"/>
              <w:autoSpaceDN w:val="0"/>
              <w:adjustRightInd w:val="0"/>
              <w:spacing w:line="420" w:lineRule="exact"/>
              <w:rPr>
                <w:rFonts w:cs="宋体" w:asciiTheme="minorEastAsia" w:hAnsiTheme="minorEastAsia" w:eastAsiaTheme="minorEastAsia"/>
                <w:kern w:val="0"/>
                <w:szCs w:val="21"/>
              </w:rPr>
            </w:pPr>
          </w:p>
          <w:p>
            <w:pPr>
              <w:autoSpaceDE w:val="0"/>
              <w:autoSpaceDN w:val="0"/>
              <w:adjustRightInd w:val="0"/>
              <w:spacing w:line="42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生产和服务基本控制</w:t>
            </w:r>
          </w:p>
          <w:p>
            <w:pPr>
              <w:autoSpaceDE w:val="0"/>
              <w:autoSpaceDN w:val="0"/>
              <w:adjustRightInd w:val="0"/>
              <w:spacing w:line="4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了解公司环境因素和危险源识别、重要环境因素和重大危险源控制措施策划，环境、职业健康安全管理体系运作的情况</w:t>
            </w:r>
          </w:p>
          <w:p>
            <w:pPr>
              <w:autoSpaceDE w:val="0"/>
              <w:autoSpaceDN w:val="0"/>
              <w:adjustRightInd w:val="0"/>
              <w:spacing w:line="420" w:lineRule="exact"/>
              <w:rPr>
                <w:rFonts w:cs="宋体" w:asciiTheme="minorEastAsia" w:hAnsiTheme="minorEastAsia" w:eastAsiaTheme="minorEastAsia"/>
                <w:szCs w:val="21"/>
              </w:rPr>
            </w:pPr>
          </w:p>
          <w:p>
            <w:pPr>
              <w:autoSpaceDE w:val="0"/>
              <w:autoSpaceDN w:val="0"/>
              <w:adjustRightInd w:val="0"/>
              <w:spacing w:line="420" w:lineRule="exact"/>
              <w:rPr>
                <w:rFonts w:cs="宋体" w:asciiTheme="minorEastAsia" w:hAnsiTheme="minorEastAsia" w:eastAsiaTheme="minorEastAsia"/>
                <w:szCs w:val="21"/>
              </w:rPr>
            </w:pPr>
          </w:p>
          <w:p>
            <w:pPr>
              <w:autoSpaceDE w:val="0"/>
              <w:autoSpaceDN w:val="0"/>
              <w:adjustRightInd w:val="0"/>
              <w:spacing w:line="420" w:lineRule="exact"/>
              <w:rPr>
                <w:rFonts w:cs="宋体" w:asciiTheme="minorEastAsia" w:hAnsiTheme="minorEastAsia" w:eastAsiaTheme="minorEastAsia"/>
                <w:szCs w:val="21"/>
              </w:rPr>
            </w:pPr>
          </w:p>
          <w:p>
            <w:pPr>
              <w:autoSpaceDE w:val="0"/>
              <w:autoSpaceDN w:val="0"/>
              <w:adjustRightInd w:val="0"/>
              <w:spacing w:line="4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QJEO法律法规的识别和控制</w:t>
            </w:r>
          </w:p>
          <w:p>
            <w:pPr>
              <w:autoSpaceDE w:val="0"/>
              <w:autoSpaceDN w:val="0"/>
              <w:adjustRightInd w:val="0"/>
              <w:spacing w:line="420" w:lineRule="exact"/>
              <w:rPr>
                <w:rFonts w:cs="宋体" w:asciiTheme="minorEastAsia" w:hAnsiTheme="minorEastAsia" w:eastAsiaTheme="minorEastAsia"/>
                <w:szCs w:val="21"/>
              </w:rPr>
            </w:pPr>
          </w:p>
          <w:p>
            <w:pPr>
              <w:autoSpaceDE w:val="0"/>
              <w:autoSpaceDN w:val="0"/>
              <w:adjustRightInd w:val="0"/>
              <w:spacing w:line="420" w:lineRule="exact"/>
              <w:rPr>
                <w:rFonts w:cs="宋体" w:asciiTheme="minorEastAsia" w:hAnsiTheme="minorEastAsia" w:eastAsiaTheme="minorEastAsia"/>
                <w:szCs w:val="21"/>
              </w:rPr>
            </w:pPr>
          </w:p>
          <w:p>
            <w:pPr>
              <w:autoSpaceDE w:val="0"/>
              <w:autoSpaceDN w:val="0"/>
              <w:adjustRightInd w:val="0"/>
              <w:spacing w:line="420" w:lineRule="exact"/>
              <w:rPr>
                <w:rFonts w:cs="宋体" w:asciiTheme="minorEastAsia" w:hAnsiTheme="minorEastAsia" w:eastAsiaTheme="minorEastAsia"/>
                <w:szCs w:val="21"/>
              </w:rPr>
            </w:pPr>
          </w:p>
          <w:p>
            <w:pPr>
              <w:autoSpaceDE w:val="0"/>
              <w:autoSpaceDN w:val="0"/>
              <w:adjustRightInd w:val="0"/>
              <w:spacing w:line="420" w:lineRule="exact"/>
              <w:rPr>
                <w:rFonts w:cs="宋体" w:asciiTheme="minorEastAsia" w:hAnsiTheme="minorEastAsia" w:eastAsiaTheme="minorEastAsia"/>
                <w:szCs w:val="21"/>
              </w:rPr>
            </w:pPr>
          </w:p>
          <w:p>
            <w:pPr>
              <w:autoSpaceDE w:val="0"/>
              <w:autoSpaceDN w:val="0"/>
              <w:adjustRightInd w:val="0"/>
              <w:spacing w:line="420" w:lineRule="exact"/>
              <w:rPr>
                <w:rFonts w:cs="宋体" w:asciiTheme="minorEastAsia" w:hAnsiTheme="minorEastAsia" w:eastAsiaTheme="minorEastAsia"/>
                <w:szCs w:val="21"/>
              </w:rPr>
            </w:pPr>
          </w:p>
          <w:p>
            <w:pPr>
              <w:autoSpaceDE w:val="0"/>
              <w:autoSpaceDN w:val="0"/>
              <w:adjustRightInd w:val="0"/>
              <w:spacing w:line="420" w:lineRule="exact"/>
              <w:rPr>
                <w:rFonts w:cs="宋体" w:asciiTheme="minorEastAsia" w:hAnsiTheme="minorEastAsia" w:eastAsiaTheme="minorEastAsia"/>
                <w:szCs w:val="21"/>
              </w:rPr>
            </w:pPr>
          </w:p>
          <w:p>
            <w:pPr>
              <w:autoSpaceDE w:val="0"/>
              <w:autoSpaceDN w:val="0"/>
              <w:adjustRightInd w:val="0"/>
              <w:spacing w:line="420" w:lineRule="exact"/>
              <w:rPr>
                <w:rFonts w:cs="宋体" w:asciiTheme="minorEastAsia" w:hAnsiTheme="minorEastAsia" w:eastAsiaTheme="minorEastAsia"/>
                <w:szCs w:val="21"/>
              </w:rPr>
            </w:pPr>
          </w:p>
          <w:p>
            <w:pPr>
              <w:autoSpaceDE w:val="0"/>
              <w:autoSpaceDN w:val="0"/>
              <w:adjustRightInd w:val="0"/>
              <w:spacing w:line="420" w:lineRule="exact"/>
              <w:rPr>
                <w:rFonts w:cs="宋体" w:asciiTheme="minorEastAsia" w:hAnsiTheme="minorEastAsia" w:eastAsiaTheme="minorEastAsia"/>
                <w:szCs w:val="21"/>
              </w:rPr>
            </w:pPr>
          </w:p>
          <w:p>
            <w:pPr>
              <w:autoSpaceDE w:val="0"/>
              <w:autoSpaceDN w:val="0"/>
              <w:adjustRightInd w:val="0"/>
              <w:spacing w:line="420" w:lineRule="exact"/>
              <w:rPr>
                <w:rFonts w:cs="宋体" w:asciiTheme="minorEastAsia" w:hAnsiTheme="minorEastAsia" w:eastAsiaTheme="minorEastAsia"/>
                <w:szCs w:val="21"/>
              </w:rPr>
            </w:pPr>
          </w:p>
          <w:p>
            <w:pPr>
              <w:autoSpaceDE w:val="0"/>
              <w:autoSpaceDN w:val="0"/>
              <w:adjustRightInd w:val="0"/>
              <w:spacing w:line="420" w:lineRule="exact"/>
              <w:rPr>
                <w:rFonts w:cs="宋体" w:asciiTheme="minorEastAsia" w:hAnsiTheme="minorEastAsia" w:eastAsiaTheme="minorEastAsia"/>
                <w:szCs w:val="21"/>
              </w:rPr>
            </w:pPr>
          </w:p>
          <w:p>
            <w:pPr>
              <w:autoSpaceDE w:val="0"/>
              <w:autoSpaceDN w:val="0"/>
              <w:adjustRightInd w:val="0"/>
              <w:spacing w:line="420" w:lineRule="exact"/>
              <w:rPr>
                <w:rFonts w:cs="宋体" w:asciiTheme="minorEastAsia" w:hAnsiTheme="minorEastAsia" w:eastAsiaTheme="minorEastAsia"/>
                <w:szCs w:val="21"/>
              </w:rPr>
            </w:pPr>
          </w:p>
          <w:p>
            <w:pPr>
              <w:autoSpaceDE w:val="0"/>
              <w:autoSpaceDN w:val="0"/>
              <w:adjustRightInd w:val="0"/>
              <w:spacing w:line="420" w:lineRule="exact"/>
              <w:rPr>
                <w:rFonts w:cs="宋体" w:asciiTheme="minorEastAsia" w:hAnsiTheme="minorEastAsia" w:eastAsiaTheme="minorEastAsia"/>
                <w:szCs w:val="21"/>
              </w:rPr>
            </w:pPr>
          </w:p>
          <w:p>
            <w:pPr>
              <w:autoSpaceDE w:val="0"/>
              <w:autoSpaceDN w:val="0"/>
              <w:adjustRightInd w:val="0"/>
              <w:spacing w:line="420" w:lineRule="exact"/>
              <w:rPr>
                <w:rFonts w:cs="宋体" w:asciiTheme="minorEastAsia" w:hAnsiTheme="minorEastAsia" w:eastAsiaTheme="minorEastAsia"/>
                <w:kern w:val="0"/>
                <w:szCs w:val="21"/>
                <w:lang w:val="zh-CN"/>
              </w:rPr>
            </w:pPr>
          </w:p>
          <w:p>
            <w:pPr>
              <w:rPr>
                <w:rFonts w:asciiTheme="minorEastAsia" w:hAnsiTheme="minorEastAsia" w:eastAsiaTheme="minorEastAsia"/>
                <w:szCs w:val="21"/>
              </w:rPr>
            </w:pPr>
            <w:r>
              <w:rPr>
                <w:rFonts w:asciiTheme="minorEastAsia" w:hAnsiTheme="minorEastAsia" w:eastAsiaTheme="minorEastAsia"/>
                <w:szCs w:val="21"/>
              </w:rPr>
              <w:t>在建项目及完工项目而基本概况</w:t>
            </w:r>
            <w:r>
              <w:rPr>
                <w:rFonts w:hint="eastAsia" w:asciiTheme="minorEastAsia" w:hAnsiTheme="minorEastAsia" w:eastAsiaTheme="minorEastAsia"/>
                <w:szCs w:val="21"/>
              </w:rPr>
              <w:t>。</w:t>
            </w:r>
          </w:p>
        </w:tc>
        <w:tc>
          <w:tcPr>
            <w:tcW w:w="851" w:type="dxa"/>
          </w:tcPr>
          <w:p>
            <w:pPr>
              <w:rPr>
                <w:rFonts w:asciiTheme="minorEastAsia" w:hAnsiTheme="minorEastAsia" w:eastAsiaTheme="minorEastAsia"/>
                <w:szCs w:val="21"/>
              </w:rPr>
            </w:pPr>
          </w:p>
          <w:p>
            <w:pPr>
              <w:rPr>
                <w:rFonts w:asciiTheme="minorEastAsia" w:hAnsiTheme="minorEastAsia" w:eastAsiaTheme="minorEastAsia"/>
                <w:szCs w:val="21"/>
              </w:rPr>
            </w:pPr>
          </w:p>
        </w:tc>
        <w:tc>
          <w:tcPr>
            <w:tcW w:w="11340" w:type="dxa"/>
            <w:vAlign w:val="top"/>
          </w:tcPr>
          <w:p>
            <w:pPr>
              <w:spacing w:line="360" w:lineRule="auto"/>
              <w:jc w:val="left"/>
              <w:rPr>
                <w:rFonts w:hint="eastAsia"/>
                <w:b/>
                <w:bCs/>
                <w:lang w:val="en-US" w:eastAsia="zh-CN"/>
              </w:rPr>
            </w:pPr>
            <w:r>
              <w:rPr>
                <w:rFonts w:hint="eastAsia"/>
                <w:b/>
                <w:bCs/>
                <w:lang w:val="en-US" w:eastAsia="zh-CN"/>
              </w:rPr>
              <w:t>查看了《营业执照》：</w:t>
            </w:r>
          </w:p>
          <w:p>
            <w:pPr>
              <w:spacing w:line="360" w:lineRule="auto"/>
              <w:jc w:val="left"/>
              <w:rPr>
                <w:rFonts w:hint="default"/>
                <w:lang w:val="en-US" w:eastAsia="zh-CN"/>
              </w:rPr>
            </w:pPr>
            <w:r>
              <w:rPr>
                <w:rFonts w:hint="eastAsia"/>
              </w:rPr>
              <w:t>公司名称：</w:t>
            </w:r>
            <w:r>
              <w:rPr>
                <w:rFonts w:hint="eastAsia" w:ascii="宋体" w:hAnsi="宋体"/>
                <w:szCs w:val="21"/>
                <w:lang w:eastAsia="zh-CN"/>
              </w:rPr>
              <w:t>西安曼海特工业技术有限公司</w:t>
            </w:r>
            <w:r>
              <w:rPr>
                <w:rFonts w:hint="eastAsia"/>
              </w:rPr>
              <w:t>，公司</w:t>
            </w:r>
            <w:r>
              <w:rPr>
                <w:rFonts w:hint="eastAsia"/>
                <w:lang w:val="en-US" w:eastAsia="zh-CN"/>
              </w:rPr>
              <w:t>成立：成立</w:t>
            </w:r>
            <w:r>
              <w:rPr>
                <w:rFonts w:hint="eastAsia"/>
              </w:rPr>
              <w:t>，有效期</w:t>
            </w:r>
            <w:r>
              <w:rPr>
                <w:rFonts w:hint="eastAsia"/>
                <w:lang w:eastAsia="zh-CN"/>
              </w:rPr>
              <w:t>：</w:t>
            </w:r>
            <w:r>
              <w:rPr>
                <w:rFonts w:hint="eastAsia"/>
                <w:lang w:val="en-US" w:eastAsia="zh-CN"/>
              </w:rPr>
              <w:t>长期</w:t>
            </w:r>
          </w:p>
          <w:p>
            <w:pPr>
              <w:spacing w:line="360" w:lineRule="auto"/>
              <w:jc w:val="left"/>
            </w:pPr>
            <w:r>
              <w:rPr>
                <w:rFonts w:hint="eastAsia"/>
              </w:rPr>
              <w:t>法人代表：</w:t>
            </w:r>
            <w:r>
              <w:rPr>
                <w:rFonts w:hint="eastAsia"/>
                <w:lang w:val="en-US" w:eastAsia="zh-CN"/>
              </w:rPr>
              <w:t>宋连庆</w:t>
            </w:r>
            <w:r>
              <w:rPr>
                <w:rFonts w:hint="eastAsia"/>
              </w:rPr>
              <w:t>。</w:t>
            </w:r>
            <w:r>
              <w:rPr>
                <w:rFonts w:hint="eastAsia"/>
                <w:lang w:val="en-US" w:eastAsia="zh-CN"/>
              </w:rPr>
              <w:t>注册资金</w:t>
            </w:r>
            <w:r>
              <w:rPr>
                <w:rFonts w:hint="eastAsia"/>
                <w:szCs w:val="21"/>
                <w:lang w:val="en-US" w:eastAsia="zh-CN"/>
              </w:rPr>
              <w:t>1010.00万</w:t>
            </w:r>
            <w:r>
              <w:rPr>
                <w:rFonts w:hint="eastAsia"/>
                <w:lang w:val="en-US" w:eastAsia="zh-CN"/>
              </w:rPr>
              <w:t>。</w:t>
            </w:r>
          </w:p>
          <w:p>
            <w:pPr>
              <w:spacing w:line="360" w:lineRule="auto"/>
              <w:jc w:val="left"/>
            </w:pPr>
            <w:r>
              <w:rPr>
                <w:rFonts w:hint="eastAsia"/>
              </w:rPr>
              <w:t>注册地址：</w:t>
            </w:r>
            <w:r>
              <w:rPr>
                <w:rFonts w:hint="eastAsia" w:ascii="宋体" w:hAnsi="宋体"/>
                <w:szCs w:val="21"/>
                <w:lang w:eastAsia="zh-CN"/>
              </w:rPr>
              <w:t>西安市经开区凤城二路27号天心大厦10层1003室</w:t>
            </w:r>
          </w:p>
          <w:p>
            <w:pPr>
              <w:spacing w:line="360" w:lineRule="auto"/>
              <w:jc w:val="left"/>
              <w:rPr>
                <w:rFonts w:hint="eastAsia"/>
                <w:lang w:val="de-DE"/>
              </w:rPr>
            </w:pPr>
            <w:r>
              <w:rPr>
                <w:rFonts w:hint="eastAsia"/>
                <w:lang w:val="de-DE"/>
              </w:rPr>
              <w:t>经营地址：</w:t>
            </w:r>
            <w:r>
              <w:rPr>
                <w:rFonts w:hint="eastAsia" w:ascii="宋体" w:hAnsi="宋体"/>
                <w:szCs w:val="21"/>
                <w:lang w:eastAsia="zh-CN"/>
              </w:rPr>
              <w:t>西安市经开区凤城二路27号天心大厦10层1003室</w:t>
            </w:r>
          </w:p>
          <w:p>
            <w:pPr>
              <w:spacing w:line="360" w:lineRule="auto"/>
              <w:jc w:val="left"/>
              <w:rPr>
                <w:rFonts w:hint="eastAsia"/>
              </w:rPr>
            </w:pPr>
            <w:r>
              <w:rPr>
                <w:rFonts w:hint="eastAsia"/>
              </w:rPr>
              <w:t>经营范围：机电设备安装工程的施工；机电设备、液压设备的研发、组装、成套、调试、销售及技术咨询；计算机控制系统设备的开发、制作、销售；计算机网络工程设计、施工；电子与智能化工程的施工与设计；货物及技术的进出口业务（国家禁止或限制进出口的货物、技术除外）。（上述经营范围中涉及许可项目的，凭许可证明文件、证件在有效期内经营，未经许可不得经营）</w:t>
            </w:r>
          </w:p>
          <w:p>
            <w:pPr>
              <w:spacing w:line="360" w:lineRule="auto"/>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营业执照符合要求，见附件。</w:t>
            </w:r>
          </w:p>
          <w:p>
            <w:pPr>
              <w:spacing w:line="360" w:lineRule="auto"/>
              <w:jc w:val="left"/>
              <w:rPr>
                <w:rFonts w:hint="eastAsia" w:ascii="Times New Roman" w:hAnsi="Times New Roman" w:eastAsia="宋体" w:cs="Times New Roman"/>
                <w:b/>
                <w:bCs/>
                <w:color w:val="auto"/>
                <w:sz w:val="21"/>
                <w:szCs w:val="21"/>
                <w:lang w:eastAsia="zh-CN"/>
              </w:rPr>
            </w:pPr>
            <w:r>
              <w:rPr>
                <w:rFonts w:hint="eastAsia" w:ascii="Times New Roman" w:hAnsi="Times New Roman" w:eastAsia="宋体" w:cs="Times New Roman"/>
                <w:b/>
                <w:bCs/>
                <w:color w:val="auto"/>
                <w:sz w:val="21"/>
                <w:szCs w:val="21"/>
                <w:lang w:eastAsia="zh-CN"/>
              </w:rPr>
              <w:t>《</w:t>
            </w:r>
            <w:r>
              <w:rPr>
                <w:rFonts w:hint="eastAsia" w:ascii="Times New Roman" w:hAnsi="Times New Roman" w:eastAsia="宋体" w:cs="Times New Roman"/>
                <w:b/>
                <w:bCs/>
                <w:color w:val="auto"/>
                <w:sz w:val="21"/>
                <w:szCs w:val="21"/>
                <w:lang w:val="en-US" w:eastAsia="zh-CN"/>
              </w:rPr>
              <w:t>安全生产许可证</w:t>
            </w:r>
            <w:r>
              <w:rPr>
                <w:rFonts w:hint="eastAsia" w:ascii="Times New Roman" w:hAnsi="Times New Roman" w:eastAsia="宋体" w:cs="Times New Roman"/>
                <w:b/>
                <w:bCs/>
                <w:color w:val="auto"/>
                <w:sz w:val="21"/>
                <w:szCs w:val="21"/>
                <w:lang w:eastAsia="zh-CN"/>
              </w:rPr>
              <w:t>》</w:t>
            </w:r>
          </w:p>
          <w:p>
            <w:pPr>
              <w:pStyle w:val="12"/>
              <w:rPr>
                <w:rFonts w:hint="default"/>
                <w:color w:val="auto"/>
                <w:sz w:val="21"/>
                <w:szCs w:val="21"/>
                <w:lang w:val="en-US" w:eastAsia="zh-CN"/>
              </w:rPr>
            </w:pPr>
            <w:r>
              <w:rPr>
                <w:rFonts w:hint="eastAsia" w:ascii="Times New Roman" w:hAnsi="Times New Roman" w:eastAsia="宋体" w:cs="Times New Roman"/>
                <w:b/>
                <w:bCs/>
                <w:color w:val="auto"/>
                <w:sz w:val="21"/>
                <w:szCs w:val="21"/>
                <w:lang w:val="en-US" w:eastAsia="zh-CN"/>
              </w:rPr>
              <w:t>编号：</w:t>
            </w:r>
            <w:r>
              <w:rPr>
                <w:rFonts w:hint="eastAsia"/>
                <w:color w:val="auto"/>
                <w:sz w:val="21"/>
                <w:szCs w:val="21"/>
                <w:lang w:val="en-US" w:eastAsia="zh-CN"/>
              </w:rPr>
              <w:t>(陕)JZ安许证字[2014]011251</w:t>
            </w:r>
          </w:p>
          <w:p>
            <w:pPr>
              <w:pStyle w:val="12"/>
              <w:rPr>
                <w:rFonts w:hint="default"/>
                <w:color w:val="auto"/>
                <w:sz w:val="21"/>
                <w:szCs w:val="21"/>
                <w:lang w:val="en-US" w:eastAsia="zh-CN"/>
              </w:rPr>
            </w:pPr>
            <w:r>
              <w:rPr>
                <w:rFonts w:hint="eastAsia"/>
                <w:color w:val="auto"/>
                <w:sz w:val="21"/>
                <w:szCs w:val="21"/>
                <w:lang w:val="en-US" w:eastAsia="zh-CN"/>
              </w:rPr>
              <w:t>许可范围：建筑施工           有效期：2023年09月24日</w:t>
            </w:r>
          </w:p>
          <w:p>
            <w:pPr>
              <w:pStyle w:val="12"/>
              <w:rPr>
                <w:rFonts w:hint="default"/>
                <w:b/>
                <w:bCs w:val="0"/>
                <w:color w:val="auto"/>
                <w:sz w:val="21"/>
                <w:szCs w:val="21"/>
                <w:lang w:val="en-US" w:eastAsia="zh-CN"/>
              </w:rPr>
            </w:pPr>
            <w:r>
              <w:rPr>
                <w:rFonts w:hint="eastAsia"/>
                <w:b/>
                <w:bCs w:val="0"/>
                <w:color w:val="auto"/>
                <w:sz w:val="21"/>
                <w:szCs w:val="21"/>
                <w:lang w:val="en-US" w:eastAsia="zh-CN"/>
              </w:rPr>
              <w:t>《建筑业企业资质证书》</w:t>
            </w:r>
          </w:p>
          <w:p>
            <w:pPr>
              <w:pStyle w:val="12"/>
              <w:rPr>
                <w:rFonts w:hint="default"/>
                <w:color w:val="auto"/>
                <w:sz w:val="21"/>
                <w:szCs w:val="21"/>
                <w:lang w:val="en-US" w:eastAsia="zh-CN"/>
              </w:rPr>
            </w:pPr>
            <w:r>
              <w:rPr>
                <w:rFonts w:hint="eastAsia"/>
                <w:color w:val="auto"/>
                <w:sz w:val="21"/>
                <w:szCs w:val="21"/>
                <w:lang w:val="en-US" w:eastAsia="zh-CN"/>
              </w:rPr>
              <w:t>编号：D261060313   有效期：2022.12.24</w:t>
            </w:r>
          </w:p>
          <w:p>
            <w:pPr>
              <w:pStyle w:val="12"/>
              <w:rPr>
                <w:rFonts w:hint="eastAsia"/>
                <w:color w:val="auto"/>
                <w:sz w:val="21"/>
                <w:szCs w:val="21"/>
                <w:lang w:val="en-US" w:eastAsia="zh-CN"/>
              </w:rPr>
            </w:pPr>
            <w:r>
              <w:rPr>
                <w:rFonts w:hint="eastAsia"/>
                <w:color w:val="auto"/>
                <w:sz w:val="21"/>
                <w:szCs w:val="21"/>
                <w:lang w:val="en-US" w:eastAsia="zh-CN"/>
              </w:rPr>
              <w:t>资质类别及等级：电子与智能化工程专业承包二级</w:t>
            </w:r>
          </w:p>
          <w:p>
            <w:pPr>
              <w:spacing w:line="360" w:lineRule="exact"/>
              <w:jc w:val="both"/>
              <w:rPr>
                <w:rFonts w:hint="eastAsia"/>
                <w:sz w:val="21"/>
                <w:szCs w:val="21"/>
                <w:lang w:val="en-US" w:eastAsia="zh-CN"/>
              </w:rPr>
            </w:pPr>
            <w:r>
              <w:rPr>
                <w:rFonts w:hint="eastAsia"/>
                <w:sz w:val="21"/>
                <w:szCs w:val="21"/>
                <w:lang w:val="en-US" w:eastAsia="zh-CN"/>
              </w:rPr>
              <w:t>资质满足认证范围的要求。</w:t>
            </w:r>
          </w:p>
          <w:p>
            <w:pPr>
              <w:pStyle w:val="2"/>
              <w:rPr>
                <w:rFonts w:hint="eastAsia"/>
                <w:lang w:eastAsia="zh-CN"/>
              </w:rPr>
            </w:pPr>
          </w:p>
          <w:p>
            <w:pPr>
              <w:jc w:val="both"/>
              <w:rPr>
                <w:rFonts w:hint="eastAsia" w:cs="宋体" w:asciiTheme="minorEastAsia" w:hAnsiTheme="minorEastAsia" w:eastAsiaTheme="minorEastAsia"/>
                <w:szCs w:val="21"/>
              </w:rPr>
            </w:pPr>
            <w:r>
              <w:rPr>
                <w:rFonts w:hint="eastAsia" w:cs="宋体" w:asciiTheme="minorEastAsia" w:hAnsiTheme="minorEastAsia" w:eastAsiaTheme="minorEastAsia"/>
                <w:szCs w:val="21"/>
              </w:rPr>
              <w:t>总经理：祁佰忱</w:t>
            </w:r>
          </w:p>
          <w:p>
            <w:pPr>
              <w:jc w:val="both"/>
              <w:rPr>
                <w:rFonts w:hint="eastAsia" w:cs="宋体" w:asciiTheme="minorEastAsia" w:hAnsiTheme="minorEastAsia" w:eastAsiaTheme="minorEastAsia"/>
                <w:szCs w:val="21"/>
              </w:rPr>
            </w:pPr>
            <w:r>
              <w:rPr>
                <w:rFonts w:hint="eastAsia" w:cs="宋体" w:asciiTheme="minorEastAsia" w:hAnsiTheme="minorEastAsia" w:eastAsiaTheme="minorEastAsia"/>
                <w:szCs w:val="21"/>
              </w:rPr>
              <w:t>行政部/管代：马钰</w:t>
            </w:r>
          </w:p>
          <w:p>
            <w:pPr>
              <w:jc w:val="both"/>
              <w:rPr>
                <w:rFonts w:hint="eastAsia" w:cs="宋体" w:asciiTheme="minorEastAsia" w:hAnsiTheme="minorEastAsia" w:eastAsiaTheme="minorEastAsia"/>
                <w:szCs w:val="21"/>
              </w:rPr>
            </w:pPr>
            <w:r>
              <w:rPr>
                <w:rFonts w:hint="eastAsia" w:cs="宋体" w:asciiTheme="minorEastAsia" w:hAnsiTheme="minorEastAsia" w:eastAsiaTheme="minorEastAsia"/>
                <w:szCs w:val="21"/>
              </w:rPr>
              <w:t>供销部：刘杨洋</w:t>
            </w:r>
          </w:p>
          <w:p>
            <w:pPr>
              <w:jc w:val="both"/>
              <w:rPr>
                <w:rFonts w:hint="eastAsia" w:cs="宋体" w:asciiTheme="minorEastAsia" w:hAnsiTheme="minorEastAsia" w:eastAsiaTheme="minorEastAsia"/>
                <w:szCs w:val="21"/>
              </w:rPr>
            </w:pPr>
            <w:r>
              <w:rPr>
                <w:rFonts w:hint="eastAsia" w:cs="宋体" w:asciiTheme="minorEastAsia" w:hAnsiTheme="minorEastAsia" w:eastAsiaTheme="minorEastAsia"/>
                <w:szCs w:val="21"/>
              </w:rPr>
              <w:t>财务部：李佩佩</w:t>
            </w:r>
          </w:p>
          <w:p>
            <w:pPr>
              <w:jc w:val="both"/>
              <w:rPr>
                <w:rFonts w:hint="eastAsia" w:cs="宋体" w:asciiTheme="minorEastAsia" w:hAnsiTheme="minorEastAsia" w:eastAsiaTheme="minorEastAsia"/>
                <w:szCs w:val="21"/>
              </w:rPr>
            </w:pPr>
            <w:r>
              <w:rPr>
                <w:rFonts w:hint="eastAsia" w:cs="宋体" w:asciiTheme="minorEastAsia" w:hAnsiTheme="minorEastAsia" w:eastAsiaTheme="minorEastAsia"/>
                <w:szCs w:val="21"/>
              </w:rPr>
              <w:t>工程部：祁佰忱</w:t>
            </w:r>
          </w:p>
          <w:p>
            <w:pPr>
              <w:jc w:val="both"/>
              <w:rPr>
                <w:rFonts w:hint="eastAsia" w:cs="宋体" w:asciiTheme="minorEastAsia" w:hAnsiTheme="minorEastAsia" w:eastAsiaTheme="minorEastAsia"/>
                <w:szCs w:val="21"/>
              </w:rPr>
            </w:pPr>
          </w:p>
          <w:p>
            <w:pPr>
              <w:jc w:val="both"/>
              <w:rPr>
                <w:rFonts w:cs="宋体" w:asciiTheme="minorEastAsia" w:hAnsiTheme="minorEastAsia" w:eastAsiaTheme="minorEastAsia"/>
                <w:szCs w:val="21"/>
              </w:rPr>
            </w:pPr>
            <w:r>
              <w:rPr>
                <w:rFonts w:hint="eastAsia" w:cs="宋体" w:asciiTheme="minorEastAsia" w:hAnsiTheme="minorEastAsia" w:eastAsiaTheme="minorEastAsia"/>
                <w:szCs w:val="21"/>
              </w:rPr>
              <w:t>不适用条款：J10.5。对不适用要求进行了说明，但欠充分，已交流。二阶段详查。</w:t>
            </w:r>
          </w:p>
          <w:p>
            <w:pPr>
              <w:spacing w:line="360" w:lineRule="auto"/>
              <w:jc w:val="both"/>
              <w:rPr>
                <w:rFonts w:cs="宋体" w:asciiTheme="minorEastAsia" w:hAnsiTheme="minorEastAsia" w:eastAsiaTheme="minorEastAsia"/>
                <w:szCs w:val="21"/>
              </w:rPr>
            </w:pPr>
            <w:r>
              <w:rPr>
                <w:rFonts w:hint="eastAsia" w:cs="宋体" w:asciiTheme="minorEastAsia" w:hAnsiTheme="minorEastAsia" w:eastAsiaTheme="minorEastAsia"/>
                <w:szCs w:val="21"/>
              </w:rPr>
              <w:t>各部门职责已确定并发布、实施。</w:t>
            </w:r>
          </w:p>
          <w:p>
            <w:pPr>
              <w:spacing w:line="360" w:lineRule="auto"/>
              <w:ind w:firstLine="420" w:firstLineChars="200"/>
              <w:jc w:val="both"/>
              <w:rPr>
                <w:rFonts w:hint="eastAsia" w:cs="宋体" w:asciiTheme="minorEastAsia" w:hAnsiTheme="minorEastAsia" w:eastAsiaTheme="minorEastAsia"/>
                <w:szCs w:val="21"/>
              </w:rPr>
            </w:pPr>
            <w:r>
              <w:rPr>
                <w:rFonts w:hint="eastAsia" w:cs="宋体" w:asciiTheme="minorEastAsia" w:hAnsiTheme="minorEastAsia" w:eastAsiaTheme="minorEastAsia"/>
                <w:szCs w:val="21"/>
              </w:rPr>
              <w:t>认证主管部门：行政部。</w:t>
            </w:r>
          </w:p>
          <w:p>
            <w:pPr>
              <w:spacing w:line="360" w:lineRule="auto"/>
              <w:jc w:val="both"/>
              <w:rPr>
                <w:rFonts w:ascii="宋体" w:hAnsi="宋体"/>
                <w:b/>
                <w:bCs/>
                <w:szCs w:val="21"/>
              </w:rPr>
            </w:pPr>
            <w:r>
              <w:rPr>
                <w:rFonts w:hint="eastAsia" w:cs="宋体" w:asciiTheme="minorEastAsia" w:hAnsiTheme="minorEastAsia" w:eastAsiaTheme="minorEastAsia"/>
                <w:szCs w:val="21"/>
              </w:rPr>
              <w:t>管理体系运行时间：发布时间：20</w:t>
            </w:r>
            <w:r>
              <w:rPr>
                <w:rFonts w:hint="eastAsia" w:cs="宋体" w:asciiTheme="minorEastAsia" w:hAnsiTheme="minorEastAsia" w:eastAsiaTheme="minorEastAsia"/>
                <w:szCs w:val="21"/>
                <w:lang w:val="en-US" w:eastAsia="zh-CN"/>
              </w:rPr>
              <w:t>20</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9</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，实施时间：20</w:t>
            </w:r>
            <w:r>
              <w:rPr>
                <w:rFonts w:hint="eastAsia" w:cs="宋体" w:asciiTheme="minorEastAsia" w:hAnsiTheme="minorEastAsia" w:eastAsiaTheme="minorEastAsia"/>
                <w:szCs w:val="21"/>
                <w:lang w:val="en-US" w:eastAsia="zh-CN"/>
              </w:rPr>
              <w:t>20.9.1</w:t>
            </w:r>
            <w:r>
              <w:rPr>
                <w:rFonts w:hint="eastAsia" w:cs="宋体" w:asciiTheme="minorEastAsia" w:hAnsiTheme="minorEastAsia" w:eastAsiaTheme="minorEastAsia"/>
                <w:szCs w:val="21"/>
              </w:rPr>
              <w:t>制定、发放、实施了管理手册</w:t>
            </w:r>
            <w:r>
              <w:rPr>
                <w:rFonts w:hint="eastAsia" w:ascii="宋体" w:hAnsi="宋体" w:cs="宋体"/>
                <w:szCs w:val="21"/>
                <w:lang w:val="en-US" w:eastAsia="zh-CN"/>
              </w:rPr>
              <w:t>MHT/SC-2020</w:t>
            </w:r>
            <w:r>
              <w:rPr>
                <w:rFonts w:hint="eastAsia" w:ascii="宋体" w:hAnsi="宋体" w:cs="宋体"/>
                <w:szCs w:val="21"/>
              </w:rPr>
              <w:t xml:space="preserve"> </w:t>
            </w:r>
            <w:r>
              <w:rPr>
                <w:rFonts w:hint="eastAsia" w:ascii="宋体" w:hAnsi="宋体" w:cs="宋体"/>
                <w:szCs w:val="21"/>
                <w:lang w:val="en-US" w:eastAsia="zh-CN"/>
              </w:rPr>
              <w:t xml:space="preserve"> </w:t>
            </w:r>
            <w:r>
              <w:rPr>
                <w:rFonts w:ascii="宋体" w:hAnsi="宋体"/>
                <w:b/>
                <w:bCs/>
                <w:szCs w:val="21"/>
              </w:rPr>
              <w:t>A/0</w:t>
            </w:r>
          </w:p>
          <w:p>
            <w:pPr>
              <w:adjustRightInd w:val="0"/>
              <w:snapToGrid w:val="0"/>
              <w:spacing w:line="360" w:lineRule="auto"/>
              <w:jc w:val="both"/>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程序文件，MHT/CX-2020，管理制度和操作规范及记录等文件；质量过程控制所需的外来文件和环境、职业健康安全适用的法律法规及其他要求基本已识别获取。</w:t>
            </w:r>
          </w:p>
          <w:p>
            <w:pPr>
              <w:pStyle w:val="19"/>
              <w:numPr>
                <w:ilvl w:val="0"/>
                <w:numId w:val="1"/>
              </w:numPr>
              <w:spacing w:line="320" w:lineRule="exact"/>
              <w:ind w:firstLineChars="0"/>
              <w:jc w:val="both"/>
              <w:rPr>
                <w:rFonts w:ascii="宋体" w:hAnsi="宋体"/>
                <w:color w:val="000000"/>
                <w:szCs w:val="21"/>
              </w:rPr>
            </w:pPr>
            <w:r>
              <w:rPr>
                <w:rFonts w:hint="eastAsia" w:ascii="宋体" w:hAnsi="宋体" w:cs="宋体"/>
                <w:szCs w:val="21"/>
                <w:lang w:val="en-US" w:eastAsia="zh-CN"/>
              </w:rPr>
              <w:t>质量</w:t>
            </w:r>
            <w:r>
              <w:rPr>
                <w:rFonts w:hint="eastAsia" w:ascii="宋体" w:hAnsi="宋体" w:cs="宋体"/>
                <w:szCs w:val="21"/>
                <w:lang w:eastAsia="zh-CN"/>
              </w:rPr>
              <w:t>、</w:t>
            </w:r>
            <w:r>
              <w:rPr>
                <w:rFonts w:hint="eastAsia" w:ascii="宋体" w:hAnsi="宋体" w:cs="宋体"/>
                <w:szCs w:val="21"/>
                <w:lang w:val="en-US" w:eastAsia="zh-CN"/>
              </w:rPr>
              <w:t>环境和职业健康安全管理</w:t>
            </w:r>
            <w:r>
              <w:rPr>
                <w:rFonts w:hint="eastAsia" w:ascii="宋体" w:hAnsi="宋体" w:cs="宋体"/>
                <w:szCs w:val="21"/>
              </w:rPr>
              <w:t>方针：</w:t>
            </w:r>
            <w:r>
              <w:rPr>
                <w:rFonts w:hint="eastAsia" w:ascii="宋体" w:hAnsi="宋体" w:cs="宋体"/>
                <w:color w:val="000000" w:themeColor="text1"/>
                <w:szCs w:val="21"/>
              </w:rPr>
              <w:t>“</w:t>
            </w:r>
            <w:r>
              <w:rPr>
                <w:rFonts w:hint="eastAsia" w:ascii="Times New Roman" w:hAnsi="Times New Roman" w:eastAsia="宋体" w:cs="Times New Roman"/>
                <w:szCs w:val="22"/>
              </w:rPr>
              <w:t>顾客至上、优质高效；保护环境、减污降噪；以人为本、安全生产；遵纪守法、持续改进；提高素质、构建和谐</w:t>
            </w:r>
            <w:r>
              <w:rPr>
                <w:rFonts w:hint="eastAsia" w:ascii="宋体" w:hAnsi="宋体" w:cs="宋体"/>
                <w:color w:val="000000" w:themeColor="text1"/>
                <w:szCs w:val="21"/>
              </w:rPr>
              <w:t>。”</w:t>
            </w:r>
            <w:r>
              <w:rPr>
                <w:rFonts w:hint="eastAsia"/>
                <w:color w:val="000000" w:themeColor="text1"/>
                <w:szCs w:val="21"/>
              </w:rPr>
              <w:t xml:space="preserve"> </w:t>
            </w:r>
          </w:p>
          <w:p>
            <w:pPr>
              <w:spacing w:line="400" w:lineRule="exact"/>
              <w:ind w:firstLine="601"/>
              <w:jc w:val="both"/>
              <w:rPr>
                <w:rFonts w:ascii="宋体" w:hAnsi="宋体"/>
                <w:color w:val="000000"/>
                <w:szCs w:val="21"/>
              </w:rPr>
            </w:pPr>
          </w:p>
          <w:p>
            <w:pPr>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质量目标</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1) 施工服务合格率100%;2）顾客满意度≥90%；</w:t>
            </w:r>
          </w:p>
          <w:p>
            <w:pPr>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环境目标</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1）固废合理分类为100%；2）火灾事故为0。</w:t>
            </w:r>
          </w:p>
          <w:p>
            <w:pPr>
              <w:spacing w:line="360" w:lineRule="auto"/>
              <w:rPr>
                <w:rFonts w:hint="eastAsia" w:ascii="Times New Roman" w:hAnsi="Times New Roman" w:eastAsia="宋体" w:cs="Times New Roman"/>
                <w:szCs w:val="22"/>
              </w:rPr>
            </w:pPr>
            <w:r>
              <w:rPr>
                <w:rFonts w:hint="eastAsia" w:ascii="Times New Roman" w:hAnsi="Times New Roman" w:eastAsia="宋体" w:cs="Times New Roman"/>
                <w:szCs w:val="22"/>
              </w:rPr>
              <w:t>职业健康安全目标</w:t>
            </w:r>
          </w:p>
          <w:p>
            <w:pPr>
              <w:spacing w:line="360" w:lineRule="auto"/>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意外伤害事故为0；2）火灾事故为0；</w:t>
            </w:r>
          </w:p>
          <w:p>
            <w:pPr>
              <w:ind w:firstLine="420" w:firstLineChars="200"/>
              <w:jc w:val="both"/>
              <w:rPr>
                <w:szCs w:val="21"/>
              </w:rPr>
            </w:pPr>
            <w:r>
              <w:rPr>
                <w:rFonts w:hint="eastAsia" w:ascii="Times New Roman" w:hAnsi="Times New Roman" w:eastAsia="宋体" w:cs="Times New Roman"/>
                <w:szCs w:val="22"/>
              </w:rPr>
              <w:t>查《目标考核表》20</w:t>
            </w:r>
            <w:r>
              <w:rPr>
                <w:rFonts w:hint="eastAsia" w:ascii="Times New Roman" w:hAnsi="Times New Roman" w:eastAsia="宋体" w:cs="Times New Roman"/>
                <w:szCs w:val="22"/>
                <w:lang w:val="en-US" w:eastAsia="zh-CN"/>
              </w:rPr>
              <w:t>21</w:t>
            </w:r>
            <w:r>
              <w:rPr>
                <w:rFonts w:hint="eastAsia" w:ascii="Times New Roman" w:hAnsi="Times New Roman" w:eastAsia="宋体" w:cs="Times New Roman"/>
                <w:szCs w:val="22"/>
              </w:rPr>
              <w:t>年</w:t>
            </w:r>
            <w:r>
              <w:rPr>
                <w:rFonts w:hint="eastAsia" w:ascii="Times New Roman" w:hAnsi="Times New Roman" w:eastAsia="宋体" w:cs="Times New Roman"/>
                <w:szCs w:val="22"/>
                <w:lang w:val="en-US" w:eastAsia="zh-CN"/>
              </w:rPr>
              <w:t>4</w:t>
            </w:r>
            <w:r>
              <w:rPr>
                <w:rFonts w:hint="eastAsia" w:ascii="Times New Roman" w:hAnsi="Times New Roman" w:eastAsia="宋体" w:cs="Times New Roman"/>
                <w:szCs w:val="22"/>
              </w:rPr>
              <w:t>月</w:t>
            </w:r>
            <w:r>
              <w:rPr>
                <w:rFonts w:hint="eastAsia" w:ascii="Times New Roman" w:hAnsi="Times New Roman" w:eastAsia="宋体" w:cs="Times New Roman"/>
                <w:szCs w:val="22"/>
                <w:lang w:val="en-US" w:eastAsia="zh-CN"/>
              </w:rPr>
              <w:t>4日</w:t>
            </w:r>
            <w:r>
              <w:rPr>
                <w:rFonts w:hint="eastAsia" w:ascii="Times New Roman" w:hAnsi="Times New Roman" w:eastAsia="宋体" w:cs="Times New Roman"/>
                <w:szCs w:val="22"/>
              </w:rPr>
              <w:t>，对目标进行考核，均达到目标，</w:t>
            </w:r>
            <w:r>
              <w:rPr>
                <w:rFonts w:hint="eastAsia"/>
                <w:szCs w:val="21"/>
                <w:lang w:val="en-US" w:eastAsia="zh-CN"/>
              </w:rPr>
              <w:t xml:space="preserve">              </w:t>
            </w:r>
            <w:r>
              <w:rPr>
                <w:szCs w:val="21"/>
              </w:rPr>
              <w:t xml:space="preserve"> </w:t>
            </w:r>
          </w:p>
          <w:p>
            <w:pPr>
              <w:spacing w:line="360" w:lineRule="exact"/>
              <w:jc w:val="both"/>
              <w:rPr>
                <w:rFonts w:cs="宋体" w:asciiTheme="minorEastAsia" w:hAnsiTheme="minorEastAsia" w:eastAsiaTheme="minorEastAsia"/>
                <w:szCs w:val="21"/>
              </w:rPr>
            </w:pPr>
            <w:r>
              <w:rPr>
                <w:rFonts w:hint="eastAsia" w:cs="宋体" w:asciiTheme="minorEastAsia" w:hAnsiTheme="minorEastAsia" w:eastAsiaTheme="minorEastAsia"/>
                <w:szCs w:val="21"/>
              </w:rPr>
              <w:t>公司制订了管理方针手册中已发布实施。</w:t>
            </w:r>
          </w:p>
          <w:p>
            <w:pPr>
              <w:spacing w:line="360" w:lineRule="exact"/>
              <w:ind w:firstLine="420" w:firstLineChars="200"/>
              <w:jc w:val="both"/>
              <w:rPr>
                <w:rFonts w:cs="宋体" w:asciiTheme="minorEastAsia" w:hAnsiTheme="minorEastAsia" w:eastAsiaTheme="minorEastAsia"/>
                <w:szCs w:val="21"/>
              </w:rPr>
            </w:pPr>
            <w:r>
              <w:rPr>
                <w:rFonts w:hint="eastAsia" w:cs="宋体" w:asciiTheme="minorEastAsia" w:hAnsiTheme="minorEastAsia" w:eastAsiaTheme="minorEastAsia"/>
                <w:szCs w:val="21"/>
              </w:rPr>
              <w:t>公司制订了管理目标及管理方案并将其分解各部门，制定目标管理方案考核办法，行政部负责考核，经总经理批准后实施，日期 202</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30</w:t>
            </w:r>
            <w:r>
              <w:rPr>
                <w:rFonts w:hint="eastAsia" w:cs="宋体" w:asciiTheme="minorEastAsia" w:hAnsiTheme="minorEastAsia" w:eastAsiaTheme="minorEastAsia"/>
                <w:szCs w:val="21"/>
              </w:rPr>
              <w:t>日。管理评审结论：评价公司管理体系适宜性、充分性、有效性，体系运行有效。 并提出改进措施 项。二阶段详查。</w:t>
            </w:r>
          </w:p>
          <w:p>
            <w:pPr>
              <w:spacing w:line="360" w:lineRule="exact"/>
              <w:ind w:firstLine="420" w:firstLineChars="200"/>
              <w:jc w:val="both"/>
              <w:rPr>
                <w:rFonts w:cs="宋体" w:asciiTheme="minorEastAsia" w:hAnsiTheme="minorEastAsia" w:eastAsiaTheme="minorEastAsia"/>
                <w:szCs w:val="21"/>
              </w:rPr>
            </w:pPr>
            <w:r>
              <w:rPr>
                <w:rFonts w:hint="eastAsia" w:cs="宋体" w:asciiTheme="minorEastAsia" w:hAnsiTheme="minorEastAsia" w:eastAsiaTheme="minorEastAsia"/>
                <w:szCs w:val="21"/>
              </w:rPr>
              <w:t>公司</w:t>
            </w: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8</w:t>
            </w:r>
            <w:r>
              <w:rPr>
                <w:rFonts w:hint="eastAsia" w:ascii="宋体" w:hAnsi="宋体" w:cs="宋体"/>
                <w:szCs w:val="21"/>
              </w:rPr>
              <w:t>日-</w:t>
            </w:r>
            <w:r>
              <w:rPr>
                <w:rFonts w:hint="eastAsia" w:ascii="宋体" w:hAnsi="宋体" w:cs="宋体"/>
                <w:szCs w:val="21"/>
                <w:lang w:val="en-US" w:eastAsia="zh-CN"/>
              </w:rPr>
              <w:t>9</w:t>
            </w:r>
            <w:r>
              <w:rPr>
                <w:rFonts w:hint="eastAsia" w:ascii="宋体" w:hAnsi="宋体" w:cs="宋体"/>
                <w:szCs w:val="21"/>
              </w:rPr>
              <w:t>日</w:t>
            </w:r>
            <w:r>
              <w:rPr>
                <w:rFonts w:hint="eastAsia" w:cs="宋体" w:asciiTheme="minorEastAsia" w:hAnsiTheme="minorEastAsia" w:eastAsiaTheme="minorEastAsia"/>
                <w:szCs w:val="21"/>
              </w:rPr>
              <w:t>内审,形成20</w:t>
            </w:r>
            <w:r>
              <w:rPr>
                <w:rFonts w:hint="eastAsia" w:cs="宋体" w:asciiTheme="minorEastAsia" w:hAnsiTheme="minorEastAsia" w:eastAsiaTheme="minorEastAsia"/>
                <w:szCs w:val="21"/>
                <w:lang w:val="en-US" w:eastAsia="zh-CN"/>
              </w:rPr>
              <w:t>21</w:t>
            </w:r>
            <w:r>
              <w:rPr>
                <w:rFonts w:hint="eastAsia" w:cs="宋体" w:asciiTheme="minorEastAsia" w:hAnsiTheme="minorEastAsia" w:eastAsiaTheme="minorEastAsia"/>
                <w:szCs w:val="21"/>
              </w:rPr>
              <w:t>年内部审核资料汇编，查出一般不符合</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项，纠正措施已实施。二阶段详查。</w:t>
            </w:r>
          </w:p>
          <w:p>
            <w:pPr>
              <w:spacing w:line="360" w:lineRule="exact"/>
              <w:ind w:firstLine="420" w:firstLineChars="200"/>
              <w:jc w:val="both"/>
              <w:rPr>
                <w:rFonts w:cs="宋体" w:asciiTheme="minorEastAsia" w:hAnsiTheme="minorEastAsia" w:eastAsiaTheme="minorEastAsia"/>
                <w:szCs w:val="21"/>
              </w:rPr>
            </w:pPr>
            <w:r>
              <w:rPr>
                <w:rFonts w:hint="eastAsia" w:cs="宋体" w:asciiTheme="minorEastAsia" w:hAnsiTheme="minorEastAsia" w:eastAsiaTheme="minorEastAsia"/>
                <w:szCs w:val="21"/>
              </w:rPr>
              <w:t>配备了管理体系运行所需的人力资源，提供2020</w:t>
            </w:r>
            <w:r>
              <w:rPr>
                <w:rFonts w:hint="eastAsia" w:cs="宋体" w:asciiTheme="minorEastAsia" w:hAnsiTheme="minorEastAsia" w:eastAsiaTheme="minorEastAsia"/>
                <w:szCs w:val="21"/>
                <w:lang w:val="en-US" w:eastAsia="zh-CN"/>
              </w:rPr>
              <w:t>-2021</w:t>
            </w:r>
            <w:r>
              <w:rPr>
                <w:rFonts w:hint="eastAsia" w:cs="宋体" w:asciiTheme="minorEastAsia" w:hAnsiTheme="minorEastAsia" w:eastAsiaTheme="minorEastAsia"/>
                <w:szCs w:val="21"/>
              </w:rPr>
              <w:t>年度培训计划，涉及质量、环境、职业健康安全方面培训，基本满足要求，</w:t>
            </w:r>
          </w:p>
          <w:p>
            <w:pPr>
              <w:spacing w:line="360" w:lineRule="exact"/>
              <w:ind w:firstLine="420" w:firstLineChars="200"/>
              <w:jc w:val="both"/>
              <w:rPr>
                <w:rFonts w:cs="宋体" w:asciiTheme="minorEastAsia" w:hAnsiTheme="minorEastAsia" w:eastAsiaTheme="minorEastAsia"/>
                <w:szCs w:val="21"/>
              </w:rPr>
            </w:pPr>
            <w:r>
              <w:rPr>
                <w:rFonts w:hint="eastAsia" w:cs="宋体" w:asciiTheme="minorEastAsia" w:hAnsiTheme="minorEastAsia" w:eastAsiaTheme="minorEastAsia"/>
                <w:szCs w:val="21"/>
              </w:rPr>
              <w:t>二阶段详查。</w:t>
            </w:r>
          </w:p>
          <w:p>
            <w:pPr>
              <w:spacing w:line="360" w:lineRule="exact"/>
              <w:ind w:firstLine="420" w:firstLineChars="200"/>
              <w:jc w:val="both"/>
              <w:rPr>
                <w:rFonts w:cs="宋体" w:asciiTheme="minorEastAsia" w:hAnsiTheme="minorEastAsia" w:eastAsiaTheme="minorEastAsia"/>
                <w:szCs w:val="21"/>
              </w:rPr>
            </w:pPr>
            <w:r>
              <w:rPr>
                <w:rFonts w:hint="eastAsia" w:cs="宋体" w:asciiTheme="minorEastAsia" w:hAnsiTheme="minorEastAsia" w:eastAsiaTheme="minorEastAsia"/>
                <w:szCs w:val="21"/>
              </w:rPr>
              <w:t>无顾客及相关方投诉。</w:t>
            </w:r>
          </w:p>
          <w:p>
            <w:pPr>
              <w:spacing w:line="360" w:lineRule="exact"/>
              <w:jc w:val="both"/>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公司提供用于资质范围内</w:t>
            </w:r>
            <w:r>
              <w:rPr>
                <w:rFonts w:hint="eastAsia" w:asciiTheme="minorEastAsia" w:hAnsiTheme="minorEastAsia" w:eastAsiaTheme="minorEastAsia"/>
                <w:color w:val="auto"/>
                <w:szCs w:val="21"/>
              </w:rPr>
              <w:t>电子与智能化工程的施工。</w:t>
            </w:r>
            <w:r>
              <w:rPr>
                <w:rFonts w:hint="eastAsia" w:cs="宋体" w:asciiTheme="minorEastAsia" w:hAnsiTheme="minorEastAsia" w:eastAsiaTheme="minorEastAsia"/>
                <w:color w:val="auto"/>
                <w:szCs w:val="21"/>
              </w:rPr>
              <w:t>提供设备清单、设备维修保养计划和记录及验收规范。二阶段详查。</w:t>
            </w:r>
          </w:p>
          <w:p>
            <w:pPr>
              <w:spacing w:line="360" w:lineRule="exact"/>
              <w:ind w:firstLine="420" w:firstLineChars="200"/>
              <w:jc w:val="both"/>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人员资质：查到电工</w:t>
            </w:r>
            <w:r>
              <w:rPr>
                <w:rFonts w:hint="eastAsia" w:cs="宋体" w:asciiTheme="minorEastAsia" w:hAnsiTheme="minorEastAsia" w:eastAsiaTheme="minorEastAsia"/>
                <w:color w:val="auto"/>
                <w:szCs w:val="21"/>
                <w:lang w:eastAsia="zh-CN"/>
              </w:rPr>
              <w:t>、</w:t>
            </w:r>
            <w:r>
              <w:rPr>
                <w:rFonts w:hint="eastAsia" w:cs="宋体" w:asciiTheme="minorEastAsia" w:hAnsiTheme="minorEastAsia" w:eastAsiaTheme="minorEastAsia"/>
                <w:color w:val="auto"/>
                <w:szCs w:val="21"/>
                <w:lang w:val="en-US" w:eastAsia="zh-CN"/>
              </w:rPr>
              <w:t>登高作业</w:t>
            </w:r>
            <w:r>
              <w:rPr>
                <w:rFonts w:hint="eastAsia" w:cs="宋体" w:asciiTheme="minorEastAsia" w:hAnsiTheme="minorEastAsia" w:eastAsiaTheme="minorEastAsia"/>
                <w:color w:val="auto"/>
                <w:szCs w:val="21"/>
              </w:rPr>
              <w:t>、安全员、施工员、资料员、</w:t>
            </w:r>
            <w:r>
              <w:rPr>
                <w:rFonts w:hint="eastAsia" w:cs="宋体" w:asciiTheme="minorEastAsia" w:hAnsiTheme="minorEastAsia" w:eastAsiaTheme="minorEastAsia"/>
                <w:color w:val="auto"/>
                <w:szCs w:val="21"/>
                <w:lang w:val="en-US" w:eastAsia="zh-CN"/>
              </w:rPr>
              <w:t>质量</w:t>
            </w:r>
            <w:r>
              <w:rPr>
                <w:rFonts w:hint="eastAsia" w:cs="宋体" w:asciiTheme="minorEastAsia" w:hAnsiTheme="minorEastAsia" w:eastAsiaTheme="minorEastAsia"/>
                <w:color w:val="auto"/>
                <w:szCs w:val="21"/>
              </w:rPr>
              <w:t>员、技术负责人、项目经理等持证上岗，</w:t>
            </w:r>
          </w:p>
          <w:p>
            <w:pPr>
              <w:spacing w:line="320" w:lineRule="exact"/>
              <w:ind w:firstLine="210" w:firstLineChars="100"/>
              <w:jc w:val="both"/>
              <w:rPr>
                <w:rFonts w:cs="宋体" w:asciiTheme="minorEastAsia" w:hAnsiTheme="minorEastAsia" w:eastAsiaTheme="minorEastAsia"/>
                <w:szCs w:val="21"/>
              </w:rPr>
            </w:pPr>
            <w:r>
              <w:rPr>
                <w:rFonts w:hint="eastAsia" w:cs="宋体" w:asciiTheme="minorEastAsia" w:hAnsiTheme="minorEastAsia" w:eastAsiaTheme="minorEastAsia"/>
                <w:szCs w:val="21"/>
              </w:rPr>
              <w:t>公司制定管理手册中，明确风险和机遇事件的识别方法</w:t>
            </w:r>
            <w:r>
              <w:rPr>
                <w:rFonts w:cs="宋体" w:asciiTheme="minorEastAsia" w:hAnsiTheme="minorEastAsia" w:eastAsiaTheme="minorEastAsia"/>
                <w:szCs w:val="21"/>
              </w:rPr>
              <w:t>/途径、风险和机遇事件的评估方式、制定主要风险和机遇事件的应对措施的要求、评价这些措施有效性的方法。</w:t>
            </w:r>
          </w:p>
          <w:p>
            <w:pPr>
              <w:spacing w:line="320" w:lineRule="exact"/>
              <w:ind w:firstLine="420" w:firstLineChars="200"/>
              <w:jc w:val="both"/>
              <w:rPr>
                <w:rFonts w:cs="宋体" w:asciiTheme="minorEastAsia" w:hAnsiTheme="minorEastAsia" w:eastAsiaTheme="minorEastAsia"/>
                <w:szCs w:val="21"/>
              </w:rPr>
            </w:pPr>
            <w:r>
              <w:rPr>
                <w:rFonts w:hint="eastAsia" w:cs="宋体" w:asciiTheme="minorEastAsia" w:hAnsiTheme="minorEastAsia" w:eastAsiaTheme="minorEastAsia"/>
                <w:szCs w:val="21"/>
              </w:rPr>
              <w:t>制定《风险和机遇的应对控制程序》</w:t>
            </w:r>
          </w:p>
          <w:p>
            <w:pPr>
              <w:spacing w:line="320" w:lineRule="exact"/>
              <w:ind w:firstLine="420" w:firstLineChars="200"/>
              <w:jc w:val="both"/>
              <w:rPr>
                <w:rFonts w:cs="宋体" w:asciiTheme="minorEastAsia" w:hAnsiTheme="minorEastAsia" w:eastAsiaTheme="minorEastAsia"/>
                <w:szCs w:val="21"/>
              </w:rPr>
            </w:pPr>
            <w:r>
              <w:rPr>
                <w:rFonts w:hint="eastAsia" w:cs="宋体" w:asciiTheme="minorEastAsia" w:hAnsiTheme="minorEastAsia" w:eastAsiaTheme="minorEastAsia"/>
                <w:szCs w:val="21"/>
              </w:rPr>
              <w:t>提供“风险与机遇评价评估分析表”，按照公司的施工等过程</w:t>
            </w:r>
            <w:r>
              <w:rPr>
                <w:rFonts w:cs="宋体" w:asciiTheme="minorEastAsia" w:hAnsiTheme="minorEastAsia" w:eastAsiaTheme="minorEastAsia"/>
                <w:szCs w:val="21"/>
              </w:rPr>
              <w:t>/部门对风险和机遇进行了评价识别，并制定应对措施。如</w:t>
            </w:r>
            <w:r>
              <w:rPr>
                <w:rFonts w:hint="eastAsia" w:cs="宋体" w:asciiTheme="minorEastAsia" w:hAnsiTheme="minorEastAsia" w:eastAsiaTheme="minorEastAsia"/>
                <w:szCs w:val="21"/>
              </w:rPr>
              <w:t>外部因素、管理体系策划过程、顾客关系管理过程、订单管理过程、外部提供的过程产品和服务的控制和验证过程、施工提供控制、人力资源管理过程、文件化信息管理过程、分析、评价与改进过程等。应急管理过程</w:t>
            </w:r>
            <w:r>
              <w:rPr>
                <w:rFonts w:cs="宋体" w:asciiTheme="minorEastAsia" w:hAnsiTheme="minorEastAsia" w:eastAsiaTheme="minorEastAsia"/>
                <w:szCs w:val="21"/>
              </w:rPr>
              <w:t>人员管理过程等中出现的岗位人员突然离岗多人；员工能力、不能满足岗位需求；员工思想波动，工作不安心等风险</w:t>
            </w:r>
            <w:r>
              <w:rPr>
                <w:rFonts w:hint="eastAsia" w:cs="宋体" w:asciiTheme="minorEastAsia" w:hAnsiTheme="minorEastAsia" w:eastAsiaTheme="minorEastAsia"/>
                <w:szCs w:val="21"/>
              </w:rPr>
              <w:t>共识别</w:t>
            </w:r>
            <w:r>
              <w:rPr>
                <w:rFonts w:cs="宋体" w:asciiTheme="minorEastAsia" w:hAnsiTheme="minorEastAsia" w:eastAsiaTheme="minorEastAsia"/>
                <w:szCs w:val="21"/>
              </w:rPr>
              <w:t>1</w:t>
            </w:r>
            <w:r>
              <w:rPr>
                <w:rFonts w:hint="eastAsia" w:cs="宋体" w:asciiTheme="minorEastAsia" w:hAnsiTheme="minorEastAsia" w:eastAsiaTheme="minorEastAsia"/>
                <w:szCs w:val="21"/>
              </w:rPr>
              <w:t>9项风险和机遇</w:t>
            </w:r>
            <w:r>
              <w:rPr>
                <w:rFonts w:cs="宋体" w:asciiTheme="minorEastAsia" w:hAnsiTheme="minorEastAsia" w:eastAsiaTheme="minorEastAsia"/>
                <w:szCs w:val="21"/>
              </w:rPr>
              <w:t>。采取措施包括：</w:t>
            </w:r>
            <w:r>
              <w:rPr>
                <w:rFonts w:hint="eastAsia" w:cs="宋体" w:asciiTheme="minorEastAsia" w:hAnsiTheme="minorEastAsia" w:eastAsiaTheme="minorEastAsia"/>
                <w:szCs w:val="21"/>
              </w:rPr>
              <w:t>管理层确定组织机构方针、目标（指标）、方案/制定措施计划、噪声、废气、废水、固体废弃物污染防治控制</w:t>
            </w:r>
            <w:r>
              <w:rPr>
                <w:rFonts w:cs="宋体" w:asciiTheme="minorEastAsia" w:hAnsiTheme="minorEastAsia" w:eastAsiaTheme="minorEastAsia"/>
                <w:szCs w:val="21"/>
              </w:rPr>
              <w:t>。</w:t>
            </w:r>
            <w:r>
              <w:rPr>
                <w:rFonts w:hint="eastAsia" w:cs="宋体" w:asciiTheme="minorEastAsia" w:hAnsiTheme="minorEastAsia" w:eastAsiaTheme="minorEastAsia"/>
                <w:szCs w:val="21"/>
              </w:rPr>
              <w:t>二阶段详查。</w:t>
            </w:r>
          </w:p>
          <w:p>
            <w:pPr>
              <w:ind w:firstLine="422" w:firstLineChars="200"/>
              <w:rPr>
                <w:b/>
                <w:color w:val="auto"/>
              </w:rPr>
            </w:pPr>
            <w:r>
              <w:rPr>
                <w:rFonts w:hint="eastAsia"/>
                <w:b/>
                <w:color w:val="auto"/>
              </w:rPr>
              <w:t>绝缘靴</w:t>
            </w:r>
            <w:r>
              <w:rPr>
                <w:rFonts w:hint="eastAsia"/>
                <w:b/>
                <w:color w:val="auto"/>
                <w:lang w:eastAsia="zh-CN"/>
              </w:rPr>
              <w:t>、</w:t>
            </w:r>
            <w:r>
              <w:rPr>
                <w:rFonts w:hint="eastAsia"/>
                <w:b/>
                <w:color w:val="auto"/>
              </w:rPr>
              <w:t>绝缘手套</w:t>
            </w:r>
            <w:r>
              <w:rPr>
                <w:rFonts w:hint="eastAsia"/>
                <w:b/>
                <w:color w:val="auto"/>
                <w:lang w:eastAsia="zh-CN"/>
              </w:rPr>
              <w:t>、</w:t>
            </w:r>
            <w:r>
              <w:rPr>
                <w:rFonts w:hint="eastAsia"/>
                <w:b/>
                <w:color w:val="auto"/>
              </w:rPr>
              <w:t>绝缘操作杆</w:t>
            </w:r>
            <w:r>
              <w:rPr>
                <w:rFonts w:hint="eastAsia"/>
                <w:b/>
                <w:color w:val="auto"/>
                <w:lang w:eastAsia="zh-CN"/>
              </w:rPr>
              <w:t>、</w:t>
            </w:r>
            <w:r>
              <w:rPr>
                <w:rFonts w:hint="eastAsia"/>
                <w:b/>
                <w:color w:val="auto"/>
              </w:rPr>
              <w:t>安全警示柱</w:t>
            </w:r>
            <w:r>
              <w:rPr>
                <w:rFonts w:hint="eastAsia"/>
                <w:b/>
                <w:color w:val="auto"/>
                <w:lang w:eastAsia="zh-CN"/>
              </w:rPr>
              <w:t>、</w:t>
            </w:r>
            <w:r>
              <w:rPr>
                <w:rFonts w:hint="eastAsia"/>
                <w:b/>
                <w:color w:val="auto"/>
              </w:rPr>
              <w:t>安全警示带</w:t>
            </w:r>
            <w:r>
              <w:rPr>
                <w:rFonts w:hint="eastAsia"/>
                <w:b/>
                <w:color w:val="auto"/>
                <w:lang w:eastAsia="zh-CN"/>
              </w:rPr>
              <w:t>、</w:t>
            </w:r>
            <w:r>
              <w:rPr>
                <w:rFonts w:hint="eastAsia"/>
                <w:b/>
                <w:color w:val="auto"/>
              </w:rPr>
              <w:t>安全围挡</w:t>
            </w:r>
            <w:r>
              <w:rPr>
                <w:rFonts w:hint="eastAsia"/>
                <w:b/>
                <w:color w:val="auto"/>
                <w:lang w:eastAsia="zh-CN"/>
              </w:rPr>
              <w:t>、</w:t>
            </w:r>
            <w:r>
              <w:rPr>
                <w:rFonts w:hint="eastAsia"/>
                <w:b/>
                <w:color w:val="auto"/>
              </w:rPr>
              <w:t>漏电保护器</w:t>
            </w:r>
          </w:p>
          <w:p>
            <w:pPr>
              <w:ind w:firstLine="422" w:firstLineChars="200"/>
              <w:rPr>
                <w:rFonts w:ascii="宋体" w:hAnsi="宋体" w:cs="宋体"/>
                <w:b/>
                <w:bCs/>
                <w:color w:val="auto"/>
                <w:szCs w:val="21"/>
                <w:highlight w:val="none"/>
                <w:u w:val="single"/>
              </w:rPr>
            </w:pPr>
            <w:r>
              <w:rPr>
                <w:rFonts w:hint="eastAsia"/>
                <w:b/>
                <w:color w:val="auto"/>
              </w:rPr>
              <w:t>电工常用工具、便携式计算机、防爆对讲机、万用表</w:t>
            </w:r>
            <w:r>
              <w:rPr>
                <w:rFonts w:hint="eastAsia"/>
                <w:b/>
                <w:color w:val="auto"/>
                <w:lang w:val="en-US" w:eastAsia="zh-CN"/>
              </w:rPr>
              <w:t>等</w:t>
            </w:r>
            <w:r>
              <w:rPr>
                <w:rFonts w:hint="eastAsia"/>
                <w:b/>
                <w:color w:val="auto"/>
              </w:rPr>
              <w:t>，设备适宜。</w:t>
            </w:r>
            <w:r>
              <w:rPr>
                <w:rFonts w:hint="eastAsia"/>
                <w:b/>
                <w:bCs/>
                <w:color w:val="auto"/>
                <w:szCs w:val="21"/>
                <w:highlight w:val="none"/>
                <w:u w:val="single"/>
              </w:rPr>
              <w:t>二阶段详查。</w:t>
            </w:r>
          </w:p>
          <w:p>
            <w:pPr>
              <w:spacing w:line="360" w:lineRule="exact"/>
              <w:ind w:firstLine="422" w:firstLineChars="200"/>
              <w:jc w:val="both"/>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监视测量设备主要为：</w:t>
            </w:r>
            <w:r>
              <w:rPr>
                <w:rFonts w:hint="eastAsia"/>
                <w:b/>
                <w:bCs/>
                <w:color w:val="auto"/>
                <w:highlight w:val="none"/>
              </w:rPr>
              <w:t>监测资源：</w:t>
            </w:r>
            <w:r>
              <w:rPr>
                <w:rFonts w:hint="eastAsia"/>
                <w:b/>
                <w:bCs/>
                <w:color w:val="auto"/>
                <w:highlight w:val="none"/>
                <w:lang w:val="en-US" w:eastAsia="zh-CN"/>
              </w:rPr>
              <w:t>数字万用表、接地电阻测试仪</w:t>
            </w:r>
            <w:r>
              <w:rPr>
                <w:rFonts w:hint="eastAsia"/>
                <w:b/>
                <w:bCs/>
                <w:color w:val="auto"/>
                <w:highlight w:val="none"/>
              </w:rPr>
              <w:t>等</w:t>
            </w:r>
            <w:r>
              <w:rPr>
                <w:rFonts w:hint="eastAsia" w:cs="宋体" w:asciiTheme="minorEastAsia" w:hAnsiTheme="minorEastAsia" w:eastAsiaTheme="minorEastAsia"/>
                <w:b/>
                <w:bCs/>
                <w:color w:val="auto"/>
                <w:szCs w:val="21"/>
                <w:highlight w:val="none"/>
              </w:rPr>
              <w:t>，提供校准的证实。二阶段详查。</w:t>
            </w:r>
          </w:p>
          <w:p>
            <w:pPr>
              <w:spacing w:line="360" w:lineRule="exact"/>
              <w:ind w:firstLine="422" w:firstLineChars="200"/>
              <w:jc w:val="both"/>
              <w:rPr>
                <w:rFonts w:cs="宋体" w:asciiTheme="minorEastAsia" w:hAnsiTheme="minorEastAsia" w:eastAsiaTheme="minorEastAsia"/>
                <w:szCs w:val="21"/>
              </w:rPr>
            </w:pPr>
            <w:r>
              <w:rPr>
                <w:rFonts w:hint="eastAsia" w:cs="宋体" w:asciiTheme="minorEastAsia" w:hAnsiTheme="minorEastAsia" w:eastAsiaTheme="minorEastAsia"/>
                <w:b/>
                <w:bCs/>
                <w:szCs w:val="21"/>
                <w:highlight w:val="none"/>
              </w:rPr>
              <w:t>资质范围</w:t>
            </w:r>
            <w:r>
              <w:rPr>
                <w:rFonts w:hint="eastAsia" w:asciiTheme="minorEastAsia" w:hAnsiTheme="minorEastAsia" w:eastAsiaTheme="minorEastAsia"/>
                <w:b/>
                <w:bCs/>
                <w:szCs w:val="21"/>
                <w:highlight w:val="none"/>
              </w:rPr>
              <w:t>内</w:t>
            </w:r>
            <w:r>
              <w:rPr>
                <w:rFonts w:hint="eastAsia" w:cs="宋体" w:asciiTheme="minorEastAsia" w:hAnsiTheme="minorEastAsia" w:eastAsiaTheme="minorEastAsia"/>
                <w:b/>
                <w:bCs/>
                <w:szCs w:val="21"/>
                <w:highlight w:val="none"/>
              </w:rPr>
              <w:t>的办公的环境、职业健康安全的环境因素和危险源已识别，查看重要环</w:t>
            </w:r>
            <w:r>
              <w:rPr>
                <w:rFonts w:hint="eastAsia" w:cs="宋体" w:asciiTheme="minorEastAsia" w:hAnsiTheme="minorEastAsia" w:eastAsiaTheme="minorEastAsia"/>
                <w:szCs w:val="21"/>
              </w:rPr>
              <w:t>境因素清单;识别出：</w:t>
            </w:r>
            <w:r>
              <w:rPr>
                <w:rFonts w:hint="eastAsia" w:cs="宋体" w:asciiTheme="minorEastAsia" w:hAnsiTheme="minorEastAsia" w:eastAsiaTheme="minorEastAsia"/>
                <w:szCs w:val="21"/>
                <w:lang w:val="en-US" w:eastAsia="zh-CN"/>
              </w:rPr>
              <w:t>潜在火灾</w:t>
            </w:r>
            <w:r>
              <w:rPr>
                <w:rFonts w:hint="eastAsia" w:cs="宋体" w:asciiTheme="minorEastAsia" w:hAnsiTheme="minorEastAsia" w:eastAsiaTheme="minorEastAsia"/>
                <w:szCs w:val="21"/>
              </w:rPr>
              <w:t>、噪声排放、固废排放等项；评价确定了重要环境因素和不可接受风险并进行了重点控制，不可接受风险有：</w:t>
            </w:r>
            <w:r>
              <w:rPr>
                <w:rFonts w:hint="eastAsia" w:asciiTheme="minorEastAsia" w:hAnsiTheme="minorEastAsia" w:eastAsiaTheme="minorEastAsia"/>
                <w:szCs w:val="21"/>
              </w:rPr>
              <w:t>触电、机械伤害等项。</w:t>
            </w:r>
            <w:r>
              <w:rPr>
                <w:rFonts w:hint="eastAsia" w:cs="宋体" w:asciiTheme="minorEastAsia" w:hAnsiTheme="minorEastAsia" w:eastAsiaTheme="minorEastAsia"/>
                <w:szCs w:val="21"/>
              </w:rPr>
              <w:t>二阶段详查。</w:t>
            </w:r>
          </w:p>
          <w:p>
            <w:pPr>
              <w:spacing w:line="320" w:lineRule="exact"/>
              <w:ind w:firstLine="420" w:firstLineChars="200"/>
              <w:jc w:val="both"/>
              <w:rPr>
                <w:rFonts w:cs="Lucida Sans" w:asciiTheme="minorEastAsia" w:hAnsiTheme="minorEastAsia" w:eastAsiaTheme="minorEastAsia"/>
                <w:szCs w:val="21"/>
              </w:rPr>
            </w:pPr>
            <w:r>
              <w:rPr>
                <w:rFonts w:hint="eastAsia" w:cs="Lucida Sans" w:asciiTheme="minorEastAsia" w:hAnsiTheme="minorEastAsia" w:eastAsiaTheme="minorEastAsia"/>
                <w:szCs w:val="21"/>
              </w:rPr>
              <w:t>在公司编制的《环境因素识别与评价控制程序》中，对环境因素识别和评价的目的、职责、工作程序和记录的要求均有明确的规定。</w:t>
            </w:r>
          </w:p>
          <w:p>
            <w:pPr>
              <w:spacing w:line="320" w:lineRule="exact"/>
              <w:jc w:val="both"/>
              <w:rPr>
                <w:rFonts w:hint="eastAsia" w:cs="Lucida Sans" w:asciiTheme="minorEastAsia" w:hAnsiTheme="minorEastAsia" w:eastAsiaTheme="minorEastAsia"/>
                <w:szCs w:val="21"/>
                <w:lang w:val="en-US" w:eastAsia="zh-CN"/>
              </w:rPr>
            </w:pPr>
            <w:r>
              <w:rPr>
                <w:rFonts w:hint="eastAsia" w:cs="Lucida Sans" w:asciiTheme="minorEastAsia" w:hAnsiTheme="minorEastAsia" w:eastAsiaTheme="minorEastAsia"/>
                <w:szCs w:val="21"/>
              </w:rPr>
              <w:t>查《环境因素识别评价表》：已识别项目部的环境因素包括：水电消耗；消防器材的废弃；火灾的发生等，包括：水、气、声、渣（固废）、能源、资源等，考虑到环境影响、三种时态和三种状态等，但环境因素的识别过程未考虑产品的生命周期（沟通）。编制：审核：</w:t>
            </w:r>
            <w:r>
              <w:rPr>
                <w:rFonts w:hint="eastAsia" w:cs="Lucida Sans" w:asciiTheme="minorEastAsia" w:hAnsiTheme="minorEastAsia" w:eastAsiaTheme="minorEastAsia"/>
                <w:szCs w:val="21"/>
                <w:lang w:val="en-US" w:eastAsia="zh-CN"/>
              </w:rPr>
              <w:t>批准签字齐全</w:t>
            </w:r>
          </w:p>
          <w:p>
            <w:pPr>
              <w:spacing w:line="320" w:lineRule="exact"/>
              <w:jc w:val="both"/>
              <w:rPr>
                <w:rFonts w:cs="Lucida Sans" w:asciiTheme="minorEastAsia" w:hAnsiTheme="minorEastAsia" w:eastAsiaTheme="minorEastAsia"/>
                <w:szCs w:val="21"/>
              </w:rPr>
            </w:pPr>
            <w:r>
              <w:rPr>
                <w:rFonts w:hint="eastAsia" w:cs="Lucida Sans" w:asciiTheme="minorEastAsia" w:hAnsiTheme="minorEastAsia" w:eastAsiaTheme="minorEastAsia"/>
                <w:szCs w:val="21"/>
              </w:rPr>
              <w:t>环境因素评价，采取了“是非判断法”与“综合打分法”进行评价。查见《重要环境因素清单》，已将“火灾；固废丢弃；废气排放”等3项内容列入重要环境因素。环境因素识别、评价、更新，适合防水防腐保温施工行业特点，基本合理。</w:t>
            </w:r>
          </w:p>
          <w:p>
            <w:pPr>
              <w:spacing w:line="320" w:lineRule="exact"/>
              <w:ind w:firstLine="420" w:firstLineChars="200"/>
              <w:jc w:val="both"/>
              <w:rPr>
                <w:rFonts w:cs="Lucida Sans" w:asciiTheme="minorEastAsia" w:hAnsiTheme="minorEastAsia" w:eastAsiaTheme="minorEastAsia"/>
                <w:szCs w:val="21"/>
              </w:rPr>
            </w:pPr>
            <w:r>
              <w:rPr>
                <w:rFonts w:hint="eastAsia" w:cs="Lucida Sans" w:asciiTheme="minorEastAsia" w:hAnsiTheme="minorEastAsia" w:eastAsiaTheme="minorEastAsia"/>
                <w:szCs w:val="21"/>
              </w:rPr>
              <w:t>该公司编制了《危险源辩识与风险评价控制程序》，对危险源辨识、风险评价和风险控制策划的目的、适用范围、职责、方法、记录的要求均有明确的要求。</w:t>
            </w:r>
          </w:p>
          <w:p>
            <w:pPr>
              <w:spacing w:line="360" w:lineRule="exact"/>
              <w:ind w:firstLine="420" w:firstLineChars="200"/>
              <w:jc w:val="both"/>
              <w:rPr>
                <w:rFonts w:asciiTheme="minorEastAsia" w:hAnsiTheme="minorEastAsia" w:eastAsiaTheme="minorEastAsia" w:cstheme="minorEastAsia"/>
                <w:szCs w:val="21"/>
              </w:rPr>
            </w:pPr>
            <w:r>
              <w:rPr>
                <w:rFonts w:hint="eastAsia" w:cs="宋体" w:asciiTheme="minorEastAsia" w:hAnsiTheme="minorEastAsia" w:eastAsiaTheme="minorEastAsia"/>
                <w:szCs w:val="21"/>
              </w:rPr>
              <w:t>公司</w:t>
            </w:r>
            <w:r>
              <w:rPr>
                <w:rFonts w:hint="eastAsia" w:asciiTheme="minorEastAsia" w:hAnsiTheme="minorEastAsia" w:eastAsiaTheme="minorEastAsia" w:cstheme="minorEastAsia"/>
                <w:szCs w:val="21"/>
              </w:rPr>
              <w:t>为固定员工缴纳五险一金等。为进入施工现场的作业施工人员及管理人员办理了意外伤害团体险。</w:t>
            </w:r>
          </w:p>
          <w:p>
            <w:pPr>
              <w:spacing w:line="320" w:lineRule="exact"/>
              <w:jc w:val="both"/>
              <w:rPr>
                <w:rFonts w:cs="宋体" w:asciiTheme="minorEastAsia" w:hAnsiTheme="minorEastAsia" w:eastAsiaTheme="minorEastAsia"/>
                <w:bCs/>
                <w:spacing w:val="10"/>
                <w:szCs w:val="21"/>
                <w:lang w:val="en-GB"/>
              </w:rPr>
            </w:pPr>
            <w:r>
              <w:rPr>
                <w:rFonts w:hint="eastAsia" w:cs="宋体" w:asciiTheme="minorEastAsia" w:hAnsiTheme="minorEastAsia" w:eastAsiaTheme="minorEastAsia"/>
                <w:szCs w:val="21"/>
              </w:rPr>
              <w:t>编</w:t>
            </w:r>
            <w:r>
              <w:rPr>
                <w:rFonts w:hint="eastAsia" w:cs="宋体" w:asciiTheme="minorEastAsia" w:hAnsiTheme="minorEastAsia" w:eastAsiaTheme="minorEastAsia"/>
                <w:bCs/>
                <w:spacing w:val="10"/>
                <w:szCs w:val="21"/>
                <w:lang w:val="en-GB"/>
              </w:rPr>
              <w:t xml:space="preserve">制有《法律法规标准规范控制程序》，编制的适用的法律法规包括：中华人民共和国标准化法实施条例 </w:t>
            </w:r>
            <w:r>
              <w:rPr>
                <w:rFonts w:hint="eastAsia" w:cs="宋体" w:asciiTheme="minorEastAsia" w:hAnsiTheme="minorEastAsia" w:eastAsiaTheme="minorEastAsia"/>
                <w:bCs/>
                <w:spacing w:val="10"/>
                <w:szCs w:val="21"/>
                <w:lang w:val="en-GB"/>
              </w:rPr>
              <w:cr/>
            </w:r>
            <w:r>
              <w:rPr>
                <w:rFonts w:hint="eastAsia" w:cs="宋体" w:asciiTheme="minorEastAsia" w:hAnsiTheme="minorEastAsia" w:eastAsiaTheme="minorEastAsia"/>
                <w:bCs/>
                <w:spacing w:val="10"/>
                <w:szCs w:val="21"/>
                <w:lang w:val="en-GB"/>
              </w:rPr>
              <w:t xml:space="preserve">中华人民共和国招投标法 </w:t>
            </w:r>
            <w:r>
              <w:rPr>
                <w:rFonts w:hint="eastAsia" w:cs="宋体" w:asciiTheme="minorEastAsia" w:hAnsiTheme="minorEastAsia" w:eastAsiaTheme="minorEastAsia"/>
                <w:bCs/>
                <w:spacing w:val="10"/>
                <w:szCs w:val="21"/>
                <w:lang w:val="en-GB"/>
              </w:rPr>
              <w:cr/>
            </w:r>
            <w:r>
              <w:rPr>
                <w:rFonts w:hint="eastAsia" w:cs="宋体" w:asciiTheme="minorEastAsia" w:hAnsiTheme="minorEastAsia" w:eastAsiaTheme="minorEastAsia"/>
                <w:bCs/>
                <w:spacing w:val="10"/>
                <w:szCs w:val="21"/>
                <w:lang w:val="en-GB"/>
              </w:rPr>
              <w:t xml:space="preserve">中华人民共和国保险法 </w:t>
            </w:r>
            <w:r>
              <w:rPr>
                <w:rFonts w:hint="eastAsia" w:cs="宋体" w:asciiTheme="minorEastAsia" w:hAnsiTheme="minorEastAsia" w:eastAsiaTheme="minorEastAsia"/>
                <w:bCs/>
                <w:spacing w:val="10"/>
                <w:szCs w:val="21"/>
                <w:lang w:val="en-GB"/>
              </w:rPr>
              <w:cr/>
            </w:r>
            <w:r>
              <w:rPr>
                <w:rFonts w:hint="eastAsia" w:cs="宋体" w:asciiTheme="minorEastAsia" w:hAnsiTheme="minorEastAsia" w:eastAsiaTheme="minorEastAsia"/>
                <w:bCs/>
                <w:spacing w:val="10"/>
                <w:szCs w:val="21"/>
                <w:lang w:val="en-GB"/>
              </w:rPr>
              <w:t xml:space="preserve">中华人民共和国劳动法 </w:t>
            </w:r>
            <w:r>
              <w:rPr>
                <w:rFonts w:hint="eastAsia" w:cs="宋体" w:asciiTheme="minorEastAsia" w:hAnsiTheme="minorEastAsia" w:eastAsiaTheme="minorEastAsia"/>
                <w:bCs/>
                <w:spacing w:val="10"/>
                <w:szCs w:val="21"/>
                <w:lang w:val="en-GB"/>
              </w:rPr>
              <w:cr/>
            </w:r>
            <w:r>
              <w:rPr>
                <w:rFonts w:hint="eastAsia" w:cs="宋体" w:asciiTheme="minorEastAsia" w:hAnsiTheme="minorEastAsia" w:eastAsiaTheme="minorEastAsia"/>
                <w:bCs/>
                <w:spacing w:val="10"/>
                <w:szCs w:val="21"/>
                <w:lang w:val="en-GB"/>
              </w:rPr>
              <w:t xml:space="preserve">中华人民共和国劳动合同法 </w:t>
            </w:r>
            <w:r>
              <w:rPr>
                <w:rFonts w:hint="eastAsia" w:cs="宋体" w:asciiTheme="minorEastAsia" w:hAnsiTheme="minorEastAsia" w:eastAsiaTheme="minorEastAsia"/>
                <w:bCs/>
                <w:spacing w:val="10"/>
                <w:szCs w:val="21"/>
                <w:lang w:val="en-GB"/>
              </w:rPr>
              <w:cr/>
            </w:r>
            <w:r>
              <w:rPr>
                <w:rFonts w:hint="eastAsia" w:cs="宋体" w:asciiTheme="minorEastAsia" w:hAnsiTheme="minorEastAsia" w:eastAsiaTheme="minorEastAsia"/>
                <w:bCs/>
                <w:spacing w:val="10"/>
                <w:szCs w:val="21"/>
                <w:lang w:val="en-GB"/>
              </w:rPr>
              <w:t xml:space="preserve">中华人民共和国劳动合同法实施条例 </w:t>
            </w:r>
            <w:r>
              <w:rPr>
                <w:rFonts w:hint="eastAsia" w:cs="宋体" w:asciiTheme="minorEastAsia" w:hAnsiTheme="minorEastAsia" w:eastAsiaTheme="minorEastAsia"/>
                <w:bCs/>
                <w:spacing w:val="10"/>
                <w:szCs w:val="21"/>
                <w:lang w:val="en-GB"/>
              </w:rPr>
              <w:cr/>
            </w:r>
            <w:r>
              <w:rPr>
                <w:rFonts w:hint="eastAsia" w:cs="宋体" w:asciiTheme="minorEastAsia" w:hAnsiTheme="minorEastAsia" w:eastAsiaTheme="minorEastAsia"/>
                <w:bCs/>
                <w:spacing w:val="10"/>
                <w:szCs w:val="21"/>
                <w:lang w:val="en-GB"/>
              </w:rPr>
              <w:t xml:space="preserve">中华人民共和国城乡规划法 </w:t>
            </w:r>
            <w:r>
              <w:rPr>
                <w:rFonts w:hint="eastAsia" w:cs="宋体" w:asciiTheme="minorEastAsia" w:hAnsiTheme="minorEastAsia" w:eastAsiaTheme="minorEastAsia"/>
                <w:bCs/>
                <w:spacing w:val="10"/>
                <w:szCs w:val="21"/>
                <w:lang w:val="en-GB"/>
              </w:rPr>
              <w:cr/>
            </w:r>
            <w:r>
              <w:rPr>
                <w:rFonts w:hint="eastAsia" w:cs="宋体" w:asciiTheme="minorEastAsia" w:hAnsiTheme="minorEastAsia" w:eastAsiaTheme="minorEastAsia"/>
                <w:bCs/>
                <w:spacing w:val="10"/>
                <w:szCs w:val="21"/>
                <w:lang w:val="en-GB"/>
              </w:rPr>
              <w:t xml:space="preserve">中华人民共和国工会法 </w:t>
            </w:r>
            <w:r>
              <w:rPr>
                <w:rFonts w:hint="eastAsia" w:cs="宋体" w:asciiTheme="minorEastAsia" w:hAnsiTheme="minorEastAsia" w:eastAsiaTheme="minorEastAsia"/>
                <w:bCs/>
                <w:spacing w:val="10"/>
                <w:szCs w:val="21"/>
                <w:lang w:val="en-GB"/>
              </w:rPr>
              <w:cr/>
            </w:r>
            <w:r>
              <w:rPr>
                <w:rFonts w:hint="eastAsia" w:cs="宋体" w:asciiTheme="minorEastAsia" w:hAnsiTheme="minorEastAsia" w:eastAsiaTheme="minorEastAsia"/>
                <w:bCs/>
                <w:spacing w:val="10"/>
                <w:szCs w:val="21"/>
                <w:lang w:val="en-GB"/>
              </w:rPr>
              <w:t xml:space="preserve">中华人民共和国消防法 </w:t>
            </w:r>
            <w:r>
              <w:rPr>
                <w:rFonts w:hint="eastAsia" w:cs="宋体" w:asciiTheme="minorEastAsia" w:hAnsiTheme="minorEastAsia" w:eastAsiaTheme="minorEastAsia"/>
                <w:bCs/>
                <w:spacing w:val="10"/>
                <w:szCs w:val="21"/>
                <w:lang w:val="en-GB"/>
              </w:rPr>
              <w:cr/>
            </w:r>
            <w:r>
              <w:rPr>
                <w:rFonts w:hint="eastAsia" w:cs="宋体" w:asciiTheme="minorEastAsia" w:hAnsiTheme="minorEastAsia" w:eastAsiaTheme="minorEastAsia"/>
                <w:bCs/>
                <w:spacing w:val="10"/>
                <w:szCs w:val="21"/>
                <w:lang w:val="en-GB"/>
              </w:rPr>
              <w:t xml:space="preserve">中华人民共和国公司法 </w:t>
            </w:r>
            <w:r>
              <w:rPr>
                <w:rFonts w:hint="eastAsia" w:cs="宋体" w:asciiTheme="minorEastAsia" w:hAnsiTheme="minorEastAsia" w:eastAsiaTheme="minorEastAsia"/>
                <w:bCs/>
                <w:spacing w:val="10"/>
                <w:szCs w:val="21"/>
                <w:lang w:val="en-GB"/>
              </w:rPr>
              <w:cr/>
            </w:r>
            <w:r>
              <w:rPr>
                <w:rFonts w:hint="eastAsia" w:cs="宋体" w:asciiTheme="minorEastAsia" w:hAnsiTheme="minorEastAsia" w:eastAsiaTheme="minorEastAsia"/>
                <w:bCs/>
                <w:spacing w:val="10"/>
                <w:szCs w:val="21"/>
                <w:lang w:val="en-GB"/>
              </w:rPr>
              <w:t xml:space="preserve">中华人民共和国城乡规划法 </w:t>
            </w:r>
            <w:r>
              <w:rPr>
                <w:rFonts w:hint="eastAsia" w:cs="宋体" w:asciiTheme="minorEastAsia" w:hAnsiTheme="minorEastAsia" w:eastAsiaTheme="minorEastAsia"/>
                <w:bCs/>
                <w:spacing w:val="10"/>
                <w:szCs w:val="21"/>
                <w:lang w:val="en-GB"/>
              </w:rPr>
              <w:cr/>
            </w:r>
            <w:r>
              <w:rPr>
                <w:rFonts w:hint="eastAsia" w:cs="宋体" w:asciiTheme="minorEastAsia" w:hAnsiTheme="minorEastAsia" w:eastAsiaTheme="minorEastAsia"/>
                <w:bCs/>
                <w:spacing w:val="10"/>
                <w:szCs w:val="21"/>
                <w:lang w:val="en-GB"/>
              </w:rPr>
              <w:t xml:space="preserve">公共场所卫生管理条例实施细则 </w:t>
            </w:r>
            <w:r>
              <w:rPr>
                <w:rFonts w:hint="eastAsia" w:cs="宋体" w:asciiTheme="minorEastAsia" w:hAnsiTheme="minorEastAsia" w:eastAsiaTheme="minorEastAsia"/>
                <w:bCs/>
                <w:spacing w:val="10"/>
                <w:szCs w:val="21"/>
                <w:lang w:val="en-GB"/>
              </w:rPr>
              <w:cr/>
            </w:r>
            <w:r>
              <w:rPr>
                <w:rFonts w:hint="eastAsia" w:cs="宋体" w:asciiTheme="minorEastAsia" w:hAnsiTheme="minorEastAsia" w:eastAsiaTheme="minorEastAsia"/>
                <w:bCs/>
                <w:spacing w:val="10"/>
                <w:szCs w:val="21"/>
                <w:lang w:val="en-GB"/>
              </w:rPr>
              <w:t xml:space="preserve">中华人民共和国环境保护法 </w:t>
            </w:r>
          </w:p>
          <w:p>
            <w:pPr>
              <w:spacing w:line="320" w:lineRule="exact"/>
              <w:ind w:firstLine="460" w:firstLineChars="200"/>
              <w:jc w:val="both"/>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Cs/>
                <w:spacing w:val="10"/>
                <w:szCs w:val="21"/>
                <w:lang w:val="en-GB"/>
              </w:rPr>
              <w:t>。。。。。。</w:t>
            </w:r>
            <w:r>
              <w:rPr>
                <w:rFonts w:hint="eastAsia" w:cs="宋体" w:asciiTheme="minorEastAsia" w:hAnsiTheme="minorEastAsia" w:eastAsiaTheme="minorEastAsia"/>
                <w:bCs/>
                <w:spacing w:val="10"/>
                <w:szCs w:val="21"/>
                <w:lang w:val="en-GB"/>
              </w:rPr>
              <w:cr/>
            </w:r>
          </w:p>
          <w:p>
            <w:pPr>
              <w:spacing w:line="360" w:lineRule="exact"/>
              <w:jc w:val="both"/>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施工</w:t>
            </w:r>
            <w:bookmarkStart w:id="0" w:name="_GoBack"/>
            <w:bookmarkEnd w:id="0"/>
            <w:r>
              <w:rPr>
                <w:rFonts w:hint="eastAsia" w:cs="宋体" w:asciiTheme="minorEastAsia" w:hAnsiTheme="minorEastAsia" w:eastAsiaTheme="minorEastAsia"/>
                <w:color w:val="auto"/>
                <w:szCs w:val="21"/>
                <w:highlight w:val="none"/>
              </w:rPr>
              <w:t>流程：</w:t>
            </w:r>
          </w:p>
          <w:p>
            <w:pPr>
              <w:spacing w:line="360" w:lineRule="exact"/>
              <w:ind w:firstLine="420" w:firstLineChars="200"/>
              <w:jc w:val="both"/>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开工报告—设备部件入场—成套/组装—安装—试验、检验—交付。</w:t>
            </w:r>
          </w:p>
          <w:p>
            <w:pPr>
              <w:spacing w:line="360" w:lineRule="exact"/>
              <w:ind w:firstLine="420" w:firstLineChars="200"/>
              <w:jc w:val="both"/>
              <w:rPr>
                <w:rFonts w:cs="宋体" w:asciiTheme="minorEastAsia" w:hAnsiTheme="minorEastAsia" w:eastAsiaTheme="minorEastAsia"/>
                <w:szCs w:val="21"/>
              </w:rPr>
            </w:pPr>
            <w:r>
              <w:rPr>
                <w:rFonts w:hint="eastAsia" w:cs="宋体" w:asciiTheme="minorEastAsia" w:hAnsiTheme="minorEastAsia" w:eastAsiaTheme="minorEastAsia"/>
                <w:szCs w:val="21"/>
              </w:rPr>
              <w:t>主要环境因素：噪声的排放、固废的排物、</w:t>
            </w:r>
            <w:r>
              <w:rPr>
                <w:rFonts w:hint="eastAsia" w:cs="宋体" w:asciiTheme="minorEastAsia" w:hAnsiTheme="minorEastAsia" w:eastAsiaTheme="minorEastAsia"/>
                <w:szCs w:val="21"/>
                <w:lang w:val="en-US" w:eastAsia="zh-CN"/>
              </w:rPr>
              <w:t>潜在</w:t>
            </w:r>
            <w:r>
              <w:rPr>
                <w:rFonts w:hint="eastAsia" w:cs="宋体" w:asciiTheme="minorEastAsia" w:hAnsiTheme="minorEastAsia" w:eastAsiaTheme="minorEastAsia"/>
                <w:szCs w:val="21"/>
              </w:rPr>
              <w:t>火灾</w:t>
            </w:r>
            <w:r>
              <w:rPr>
                <w:rFonts w:cs="宋体" w:asciiTheme="minorEastAsia" w:hAnsiTheme="minorEastAsia" w:eastAsiaTheme="minorEastAsia"/>
                <w:szCs w:val="21"/>
              </w:rPr>
              <w:t>等</w:t>
            </w:r>
            <w:r>
              <w:rPr>
                <w:rFonts w:hint="eastAsia" w:cs="宋体" w:asciiTheme="minorEastAsia" w:hAnsiTheme="minorEastAsia" w:eastAsiaTheme="minorEastAsia"/>
                <w:szCs w:val="21"/>
              </w:rPr>
              <w:t>项；</w:t>
            </w:r>
          </w:p>
          <w:p>
            <w:pPr>
              <w:spacing w:line="360" w:lineRule="exact"/>
              <w:ind w:firstLine="420" w:firstLineChars="200"/>
              <w:jc w:val="both"/>
              <w:rPr>
                <w:rFonts w:hint="eastAsia" w:eastAsia="宋体" w:cs="宋体" w:asciiTheme="minorEastAsia" w:hAnsiTheme="minorEastAsia"/>
                <w:szCs w:val="21"/>
                <w:lang w:val="en-US" w:eastAsia="zh-CN"/>
              </w:rPr>
            </w:pPr>
            <w:r>
              <w:rPr>
                <w:rFonts w:hint="eastAsia" w:cs="宋体" w:asciiTheme="minorEastAsia" w:hAnsiTheme="minorEastAsia" w:eastAsiaTheme="minorEastAsia"/>
                <w:szCs w:val="21"/>
              </w:rPr>
              <w:t>不可接受危险源：</w:t>
            </w:r>
            <w:r>
              <w:rPr>
                <w:rFonts w:hint="eastAsia"/>
                <w:szCs w:val="21"/>
              </w:rPr>
              <w:t>火灾、机械伤害</w:t>
            </w:r>
            <w:r>
              <w:rPr>
                <w:rFonts w:hint="eastAsia"/>
                <w:szCs w:val="21"/>
                <w:lang w:eastAsia="zh-CN"/>
              </w:rPr>
              <w:t>、</w:t>
            </w:r>
            <w:r>
              <w:rPr>
                <w:rFonts w:hint="eastAsia"/>
                <w:szCs w:val="21"/>
              </w:rPr>
              <w:t>触电等</w:t>
            </w:r>
            <w:r>
              <w:rPr>
                <w:rFonts w:hint="eastAsia"/>
                <w:szCs w:val="21"/>
                <w:lang w:val="en-US" w:eastAsia="zh-CN"/>
              </w:rPr>
              <w:t>项</w:t>
            </w:r>
          </w:p>
          <w:p>
            <w:pPr>
              <w:spacing w:line="360" w:lineRule="exact"/>
              <w:ind w:firstLine="420" w:firstLineChars="200"/>
              <w:jc w:val="both"/>
              <w:rPr>
                <w:rFonts w:cs="宋体" w:asciiTheme="minorEastAsia" w:hAnsiTheme="minorEastAsia" w:eastAsiaTheme="minorEastAsia"/>
                <w:szCs w:val="21"/>
              </w:rPr>
            </w:pPr>
            <w:r>
              <w:rPr>
                <w:rFonts w:hint="eastAsia" w:cs="宋体" w:asciiTheme="minorEastAsia" w:hAnsiTheme="minorEastAsia" w:eastAsiaTheme="minorEastAsia"/>
                <w:szCs w:val="21"/>
              </w:rPr>
              <w:t>评价确定了重要环境因素和不可接受风险并进行了重点</w:t>
            </w:r>
            <w:r>
              <w:rPr>
                <w:rFonts w:hint="eastAsia" w:cs="宋体" w:asciiTheme="minorEastAsia" w:hAnsiTheme="minorEastAsia" w:eastAsiaTheme="minorEastAsia"/>
                <w:szCs w:val="21"/>
                <w:lang w:val="en-US" w:eastAsia="zh-CN"/>
              </w:rPr>
              <w:t>措施</w:t>
            </w:r>
            <w:r>
              <w:rPr>
                <w:rFonts w:hint="eastAsia" w:cs="宋体" w:asciiTheme="minorEastAsia" w:hAnsiTheme="minorEastAsia" w:eastAsiaTheme="minorEastAsia"/>
                <w:szCs w:val="21"/>
              </w:rPr>
              <w:t>控制，</w:t>
            </w:r>
          </w:p>
          <w:p>
            <w:pPr>
              <w:spacing w:line="320" w:lineRule="exact"/>
              <w:ind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受审核方建立的管理体系文件包括：</w:t>
            </w:r>
          </w:p>
          <w:p>
            <w:pPr>
              <w:spacing w:line="320" w:lineRule="exact"/>
              <w:ind w:right="-218" w:rightChars="-104"/>
              <w:jc w:val="both"/>
              <w:rPr>
                <w:rFonts w:asciiTheme="minorEastAsia" w:hAnsiTheme="minorEastAsia" w:eastAsiaTheme="minorEastAsia"/>
                <w:b/>
                <w:szCs w:val="21"/>
              </w:rPr>
            </w:pPr>
            <w:r>
              <w:rPr>
                <w:rFonts w:hint="eastAsia" w:cs="宋体" w:asciiTheme="minorEastAsia" w:hAnsiTheme="minorEastAsia" w:eastAsiaTheme="minorEastAsia"/>
                <w:b/>
                <w:bCs/>
                <w:szCs w:val="21"/>
              </w:rPr>
              <w:t>3.管理制度汇编包括：质量管理制度</w:t>
            </w:r>
            <w:r>
              <w:rPr>
                <w:rFonts w:hint="eastAsia" w:asciiTheme="minorEastAsia" w:hAnsiTheme="minorEastAsia" w:eastAsiaTheme="minorEastAsia"/>
                <w:b/>
                <w:szCs w:val="21"/>
              </w:rPr>
              <w:t>、环境管理制度、安全生产管理制度</w:t>
            </w:r>
          </w:p>
          <w:p>
            <w:pPr>
              <w:spacing w:line="320" w:lineRule="exact"/>
              <w:ind w:firstLine="420" w:firstLineChars="200"/>
              <w:jc w:val="both"/>
              <w:rPr>
                <w:rFonts w:cs="宋体" w:asciiTheme="minorEastAsia" w:hAnsiTheme="minorEastAsia" w:eastAsiaTheme="minorEastAsia"/>
                <w:szCs w:val="21"/>
              </w:rPr>
            </w:pPr>
            <w:r>
              <w:rPr>
                <w:rFonts w:hint="eastAsia" w:cs="宋体" w:asciiTheme="minorEastAsia" w:hAnsiTheme="minorEastAsia" w:eastAsiaTheme="minorEastAsia"/>
                <w:szCs w:val="21"/>
              </w:rPr>
              <w:t>包括：材料、设备、构配件进场检验及管理制度、施工机具管理制度、施工现场管理制度、施工机具进场验收与保养维修制度、搬运管理制度、工程项目施工准备管理制度、工程项目施工质量管理制度、档案管理制定、</w:t>
            </w:r>
            <w:r>
              <w:rPr>
                <w:rFonts w:asciiTheme="minorEastAsia" w:hAnsiTheme="minorEastAsia" w:eastAsiaTheme="minorEastAsia"/>
                <w:szCs w:val="21"/>
              </w:rPr>
              <w:t>工程竣工验收制度</w:t>
            </w:r>
            <w:r>
              <w:rPr>
                <w:rFonts w:hint="eastAsia" w:cs="宋体" w:asciiTheme="minorEastAsia" w:hAnsiTheme="minorEastAsia" w:eastAsiaTheme="minorEastAsia"/>
                <w:szCs w:val="21"/>
              </w:rPr>
              <w:t>等26个管理制度。</w:t>
            </w:r>
          </w:p>
          <w:p>
            <w:pPr>
              <w:spacing w:line="320" w:lineRule="exact"/>
              <w:jc w:val="both"/>
              <w:rPr>
                <w:rFonts w:cs="宋体" w:asciiTheme="minorEastAsia" w:hAnsiTheme="minorEastAsia" w:eastAsiaTheme="minorEastAsia"/>
                <w:szCs w:val="21"/>
              </w:rPr>
            </w:pPr>
            <w:r>
              <w:rPr>
                <w:rFonts w:hint="eastAsia" w:cs="宋体" w:asciiTheme="minorEastAsia" w:hAnsiTheme="minorEastAsia" w:eastAsiaTheme="minorEastAsia"/>
                <w:szCs w:val="21"/>
              </w:rPr>
              <w:t>4.体系运行所需要的文件和记录</w:t>
            </w:r>
          </w:p>
          <w:p>
            <w:pPr>
              <w:spacing w:line="320" w:lineRule="exact"/>
              <w:ind w:firstLine="420" w:firstLineChars="200"/>
              <w:jc w:val="both"/>
              <w:rPr>
                <w:rFonts w:hint="eastAsia" w:cs="宋体" w:asciiTheme="minorEastAsia" w:hAnsiTheme="minorEastAsia" w:eastAsiaTheme="minorEastAsia"/>
                <w:szCs w:val="21"/>
              </w:rPr>
            </w:pPr>
            <w:r>
              <w:rPr>
                <w:rFonts w:hint="eastAsia" w:cs="宋体" w:asciiTheme="minorEastAsia" w:hAnsiTheme="minorEastAsia" w:eastAsiaTheme="minorEastAsia"/>
                <w:szCs w:val="21"/>
              </w:rPr>
              <w:t>编制了《文件控制程序》《记录控制程序》用于对管理体系文件，符合标准要求。</w:t>
            </w:r>
          </w:p>
          <w:p>
            <w:pPr>
              <w:spacing w:line="320" w:lineRule="exact"/>
              <w:ind w:firstLine="420" w:firstLineChars="200"/>
              <w:jc w:val="both"/>
              <w:rPr>
                <w:rFonts w:hint="eastAsia" w:cs="宋体" w:asciiTheme="minorEastAsia" w:hAnsiTheme="minorEastAsia" w:eastAsiaTheme="minorEastAsia"/>
                <w:szCs w:val="21"/>
              </w:rPr>
            </w:pPr>
            <w:r>
              <w:rPr>
                <w:rFonts w:hint="eastAsia" w:cs="宋体" w:asciiTheme="minorEastAsia" w:hAnsiTheme="minorEastAsia" w:eastAsiaTheme="minorEastAsia"/>
                <w:szCs w:val="21"/>
              </w:rPr>
              <w:t>建筑施工工程总承包及施工劳务适用的相关法律法规的要求及产品标准包括：JGI 46-2005施工现场临时用电安全技术规范、GB50150-2016电气装置安装工程电气设备交接试验标准、GB50172-2012电气装置安装工程 蓄电池施工及验收规范、GB50150-2016电气装置安装工程 电气设备交接试验标准、GB50254-2014电气装置安装工程低压电器施工及验收规范、JGJ 146-2013建设工程施工现场环境与卫生标准动火作业安全管理规范、SY5984-2014防静电推荐做法、SY/T6340-2010石油工程建设施工安全规定、GB/T 13983-1992仪器仪表基本术语、GB/T 28879-2012电工仪器仪表产品型号编制方法、GB/T 11804-2005电工电子产品环境条件 术语、GB 23757-2009消防电子产品防护要求等</w:t>
            </w:r>
          </w:p>
          <w:p>
            <w:pPr>
              <w:spacing w:line="260" w:lineRule="exact"/>
              <w:jc w:val="both"/>
              <w:rPr>
                <w:rFonts w:ascii="宋体"/>
                <w:b/>
                <w:color w:val="FF0000"/>
                <w:szCs w:val="21"/>
                <w:highlight w:val="green"/>
              </w:rPr>
            </w:pPr>
          </w:p>
          <w:p>
            <w:pPr>
              <w:jc w:val="both"/>
              <w:rPr>
                <w:rFonts w:cs="Lucida Sans" w:asciiTheme="minorEastAsia" w:hAnsiTheme="minorEastAsia" w:eastAsiaTheme="minorEastAsia"/>
                <w:color w:val="auto"/>
                <w:szCs w:val="21"/>
                <w:highlight w:val="none"/>
              </w:rPr>
            </w:pPr>
            <w:r>
              <w:rPr>
                <w:rFonts w:hint="eastAsia" w:cs="Lucida Sans" w:asciiTheme="minorEastAsia" w:hAnsiTheme="minorEastAsia" w:eastAsiaTheme="minorEastAsia"/>
                <w:color w:val="auto"/>
                <w:szCs w:val="21"/>
                <w:highlight w:val="none"/>
              </w:rPr>
              <w:t>1、</w:t>
            </w:r>
            <w:r>
              <w:rPr>
                <w:rFonts w:hint="eastAsia" w:cs="Lucida Sans" w:asciiTheme="minorEastAsia" w:hAnsiTheme="minorEastAsia" w:eastAsiaTheme="minorEastAsia"/>
                <w:color w:val="auto"/>
                <w:szCs w:val="21"/>
                <w:highlight w:val="none"/>
                <w:lang w:val="en-US" w:eastAsia="zh-CN"/>
              </w:rPr>
              <w:t>工程</w:t>
            </w:r>
            <w:r>
              <w:rPr>
                <w:rFonts w:hint="eastAsia" w:cs="Lucida Sans" w:asciiTheme="minorEastAsia" w:hAnsiTheme="minorEastAsia" w:eastAsiaTheme="minorEastAsia"/>
                <w:color w:val="auto"/>
                <w:szCs w:val="21"/>
                <w:highlight w:val="none"/>
              </w:rPr>
              <w:t>部根据策划的安排实施施工准备，制度编制：质量管理制度、质量事故责任追究制度、施工技术标准、工程质量检验制度、施工过程管理制度、材料设备构配件进场检验及管理制度、施工机具管理制度等制度。</w:t>
            </w:r>
          </w:p>
          <w:p>
            <w:pPr>
              <w:jc w:val="both"/>
              <w:rPr>
                <w:rFonts w:cs="Lucida Sans" w:asciiTheme="minorEastAsia" w:hAnsiTheme="minorEastAsia" w:eastAsiaTheme="minorEastAsia"/>
                <w:szCs w:val="21"/>
              </w:rPr>
            </w:pPr>
            <w:r>
              <w:rPr>
                <w:rFonts w:hint="eastAsia" w:cs="Lucida Sans" w:asciiTheme="minorEastAsia" w:hAnsiTheme="minorEastAsia" w:eastAsiaTheme="minorEastAsia"/>
                <w:color w:val="auto"/>
                <w:szCs w:val="21"/>
                <w:highlight w:val="none"/>
              </w:rPr>
              <w:t>2、编制了施工组织设计方案、安全文明施工方案，均经过项目经理签字，及建设单位负责人审批。提供的资料基本完整。</w:t>
            </w:r>
            <w:r>
              <w:rPr>
                <w:rFonts w:hint="eastAsia" w:asciiTheme="minorEastAsia" w:hAnsiTheme="minorEastAsia" w:eastAsiaTheme="minorEastAsia"/>
                <w:color w:val="auto"/>
                <w:szCs w:val="21"/>
                <w:highlight w:val="none"/>
              </w:rPr>
              <w:t>二阶段详查。具备二阶段审核的基本条件。</w:t>
            </w:r>
          </w:p>
        </w:tc>
        <w:tc>
          <w:tcPr>
            <w:tcW w:w="709" w:type="dxa"/>
          </w:tcPr>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N</w:t>
            </w:r>
          </w:p>
        </w:tc>
      </w:tr>
    </w:tbl>
    <w:p>
      <w:pPr>
        <w:rPr>
          <w:rFonts w:asciiTheme="minorEastAsia" w:hAnsiTheme="minorEastAsia" w:eastAsiaTheme="minorEastAsia"/>
          <w:szCs w:val="21"/>
        </w:rPr>
      </w:pPr>
      <w:r>
        <w:rPr>
          <w:rFonts w:asciiTheme="minorEastAsia" w:hAnsiTheme="minorEastAsia" w:eastAsiaTheme="minorEastAsia"/>
          <w:szCs w:val="21"/>
        </w:rPr>
        <w:ptab w:relativeTo="margin" w:alignment="center" w:leader="none"/>
      </w:r>
    </w:p>
    <w:p>
      <w:pPr>
        <w:pStyle w:val="6"/>
        <w:rPr>
          <w:rFonts w:asciiTheme="minorEastAsia" w:hAnsiTheme="minorEastAsia" w:eastAsiaTheme="minorEastAsia"/>
          <w:sz w:val="21"/>
          <w:szCs w:val="21"/>
        </w:rPr>
      </w:pPr>
      <w:r>
        <w:rPr>
          <w:rFonts w:hint="eastAsia" w:asciiTheme="minorEastAsia" w:hAnsiTheme="minorEastAsia" w:eastAsiaTheme="minorEastAsia"/>
          <w:sz w:val="21"/>
          <w:szCs w:val="21"/>
        </w:rPr>
        <w:t>说明：不符合标注N</w:t>
      </w:r>
    </w:p>
    <w:p>
      <w:pPr>
        <w:pStyle w:val="6"/>
        <w:rPr>
          <w:rFonts w:asciiTheme="minorEastAsia" w:hAnsiTheme="minorEastAsia" w:eastAsiaTheme="minor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1"/>
      </w:pBdr>
      <w:spacing w:line="320" w:lineRule="exact"/>
      <w:ind w:firstLine="720" w:firstLineChars="400"/>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6"/>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D9258B"/>
    <w:multiLevelType w:val="multilevel"/>
    <w:tmpl w:val="64D9258B"/>
    <w:lvl w:ilvl="0" w:tentative="0">
      <w:start w:val="1"/>
      <w:numFmt w:val="decimal"/>
      <w:lvlText w:val="%1."/>
      <w:lvlJc w:val="left"/>
      <w:pPr>
        <w:ind w:left="360" w:hanging="360"/>
      </w:pPr>
      <w:rPr>
        <w:rFonts w:hint="default" w:ascii="宋体" w:hAnsi="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0031"/>
    <w:rsid w:val="00021829"/>
    <w:rsid w:val="000268A1"/>
    <w:rsid w:val="0003373A"/>
    <w:rsid w:val="000A37B2"/>
    <w:rsid w:val="000A6FD3"/>
    <w:rsid w:val="000B0A01"/>
    <w:rsid w:val="000D1D3F"/>
    <w:rsid w:val="00105A91"/>
    <w:rsid w:val="001277E1"/>
    <w:rsid w:val="00177C22"/>
    <w:rsid w:val="00180AD0"/>
    <w:rsid w:val="00183C32"/>
    <w:rsid w:val="001A2D7F"/>
    <w:rsid w:val="001C1040"/>
    <w:rsid w:val="001D4314"/>
    <w:rsid w:val="001F5997"/>
    <w:rsid w:val="001F6710"/>
    <w:rsid w:val="001F6AC5"/>
    <w:rsid w:val="00201A00"/>
    <w:rsid w:val="0022031A"/>
    <w:rsid w:val="002618E8"/>
    <w:rsid w:val="00270C69"/>
    <w:rsid w:val="00282221"/>
    <w:rsid w:val="002910B1"/>
    <w:rsid w:val="0029232A"/>
    <w:rsid w:val="002923EA"/>
    <w:rsid w:val="002B2738"/>
    <w:rsid w:val="002E4A9B"/>
    <w:rsid w:val="002F42A6"/>
    <w:rsid w:val="00300EBF"/>
    <w:rsid w:val="00313070"/>
    <w:rsid w:val="00337922"/>
    <w:rsid w:val="00340867"/>
    <w:rsid w:val="00347DA9"/>
    <w:rsid w:val="00372652"/>
    <w:rsid w:val="00380837"/>
    <w:rsid w:val="00382E21"/>
    <w:rsid w:val="003A6096"/>
    <w:rsid w:val="003D4812"/>
    <w:rsid w:val="003E073B"/>
    <w:rsid w:val="003E4A53"/>
    <w:rsid w:val="004101CB"/>
    <w:rsid w:val="00410914"/>
    <w:rsid w:val="00434F05"/>
    <w:rsid w:val="0045407C"/>
    <w:rsid w:val="00466C34"/>
    <w:rsid w:val="004735E1"/>
    <w:rsid w:val="0047513B"/>
    <w:rsid w:val="00482C9F"/>
    <w:rsid w:val="0048344E"/>
    <w:rsid w:val="004B33F8"/>
    <w:rsid w:val="004E2167"/>
    <w:rsid w:val="004F73AC"/>
    <w:rsid w:val="005138D6"/>
    <w:rsid w:val="0051785E"/>
    <w:rsid w:val="00530EF7"/>
    <w:rsid w:val="005343D4"/>
    <w:rsid w:val="00536223"/>
    <w:rsid w:val="00536930"/>
    <w:rsid w:val="005474C8"/>
    <w:rsid w:val="00551023"/>
    <w:rsid w:val="00551DC4"/>
    <w:rsid w:val="00564E53"/>
    <w:rsid w:val="005728BE"/>
    <w:rsid w:val="005942A0"/>
    <w:rsid w:val="005A2F47"/>
    <w:rsid w:val="005A5ED1"/>
    <w:rsid w:val="005B3BE0"/>
    <w:rsid w:val="005D71C1"/>
    <w:rsid w:val="005E3BFB"/>
    <w:rsid w:val="00607B52"/>
    <w:rsid w:val="00644FE2"/>
    <w:rsid w:val="0067640C"/>
    <w:rsid w:val="006A2DD0"/>
    <w:rsid w:val="006B7F41"/>
    <w:rsid w:val="006E678B"/>
    <w:rsid w:val="006E7360"/>
    <w:rsid w:val="006F3716"/>
    <w:rsid w:val="006F5F63"/>
    <w:rsid w:val="00707C70"/>
    <w:rsid w:val="00712F0B"/>
    <w:rsid w:val="0073447F"/>
    <w:rsid w:val="00734B94"/>
    <w:rsid w:val="00752375"/>
    <w:rsid w:val="007757F3"/>
    <w:rsid w:val="00792AFB"/>
    <w:rsid w:val="007B461F"/>
    <w:rsid w:val="007D61CD"/>
    <w:rsid w:val="007E6AEB"/>
    <w:rsid w:val="008179DE"/>
    <w:rsid w:val="00823AF1"/>
    <w:rsid w:val="00824194"/>
    <w:rsid w:val="00824B7F"/>
    <w:rsid w:val="008509B7"/>
    <w:rsid w:val="00857F91"/>
    <w:rsid w:val="00871C15"/>
    <w:rsid w:val="00892E79"/>
    <w:rsid w:val="008973EE"/>
    <w:rsid w:val="008B5654"/>
    <w:rsid w:val="008C4E44"/>
    <w:rsid w:val="008C7D6A"/>
    <w:rsid w:val="008D15EE"/>
    <w:rsid w:val="008D6598"/>
    <w:rsid w:val="00910C0A"/>
    <w:rsid w:val="00971600"/>
    <w:rsid w:val="009973B4"/>
    <w:rsid w:val="009F2113"/>
    <w:rsid w:val="009F5FD2"/>
    <w:rsid w:val="009F7EED"/>
    <w:rsid w:val="00A0144E"/>
    <w:rsid w:val="00A20A91"/>
    <w:rsid w:val="00A259E6"/>
    <w:rsid w:val="00A355E0"/>
    <w:rsid w:val="00A3650B"/>
    <w:rsid w:val="00A3699F"/>
    <w:rsid w:val="00A452E9"/>
    <w:rsid w:val="00A64FF9"/>
    <w:rsid w:val="00A91616"/>
    <w:rsid w:val="00AA2454"/>
    <w:rsid w:val="00AB29DB"/>
    <w:rsid w:val="00AB3AFC"/>
    <w:rsid w:val="00AD5965"/>
    <w:rsid w:val="00AE329B"/>
    <w:rsid w:val="00AF0AAB"/>
    <w:rsid w:val="00B03BF5"/>
    <w:rsid w:val="00B114D3"/>
    <w:rsid w:val="00B126D9"/>
    <w:rsid w:val="00B258C1"/>
    <w:rsid w:val="00B334B3"/>
    <w:rsid w:val="00B35FB1"/>
    <w:rsid w:val="00B678C7"/>
    <w:rsid w:val="00B711B6"/>
    <w:rsid w:val="00B83AD1"/>
    <w:rsid w:val="00BB6ED9"/>
    <w:rsid w:val="00BC0EB6"/>
    <w:rsid w:val="00BC1570"/>
    <w:rsid w:val="00BD4B93"/>
    <w:rsid w:val="00BD4CB3"/>
    <w:rsid w:val="00BE58BB"/>
    <w:rsid w:val="00BF597E"/>
    <w:rsid w:val="00C06A05"/>
    <w:rsid w:val="00C07EB7"/>
    <w:rsid w:val="00C13E4C"/>
    <w:rsid w:val="00C35404"/>
    <w:rsid w:val="00C36DBA"/>
    <w:rsid w:val="00C50CFD"/>
    <w:rsid w:val="00C51A36"/>
    <w:rsid w:val="00C55228"/>
    <w:rsid w:val="00C75611"/>
    <w:rsid w:val="00C87771"/>
    <w:rsid w:val="00C911FA"/>
    <w:rsid w:val="00C93CA3"/>
    <w:rsid w:val="00CB0822"/>
    <w:rsid w:val="00CB52BA"/>
    <w:rsid w:val="00CD2813"/>
    <w:rsid w:val="00CD619D"/>
    <w:rsid w:val="00CE315A"/>
    <w:rsid w:val="00D01771"/>
    <w:rsid w:val="00D03B59"/>
    <w:rsid w:val="00D03F19"/>
    <w:rsid w:val="00D06F59"/>
    <w:rsid w:val="00D237F5"/>
    <w:rsid w:val="00D43137"/>
    <w:rsid w:val="00D637EC"/>
    <w:rsid w:val="00D65287"/>
    <w:rsid w:val="00D8388C"/>
    <w:rsid w:val="00D85928"/>
    <w:rsid w:val="00D91A4E"/>
    <w:rsid w:val="00D96EB9"/>
    <w:rsid w:val="00DC07C4"/>
    <w:rsid w:val="00DD68CA"/>
    <w:rsid w:val="00DE30DB"/>
    <w:rsid w:val="00E341FE"/>
    <w:rsid w:val="00E4158F"/>
    <w:rsid w:val="00E84557"/>
    <w:rsid w:val="00E86A20"/>
    <w:rsid w:val="00E91A9A"/>
    <w:rsid w:val="00E9251F"/>
    <w:rsid w:val="00E94473"/>
    <w:rsid w:val="00E9625D"/>
    <w:rsid w:val="00EA2777"/>
    <w:rsid w:val="00EB0164"/>
    <w:rsid w:val="00ED0F62"/>
    <w:rsid w:val="00ED1AE6"/>
    <w:rsid w:val="00ED494F"/>
    <w:rsid w:val="00F01A5B"/>
    <w:rsid w:val="00F6094E"/>
    <w:rsid w:val="00F71ED3"/>
    <w:rsid w:val="00FB0BE8"/>
    <w:rsid w:val="00FC1AFC"/>
    <w:rsid w:val="00FE7B3F"/>
    <w:rsid w:val="09527D1F"/>
    <w:rsid w:val="108219C2"/>
    <w:rsid w:val="10A00398"/>
    <w:rsid w:val="10C201CF"/>
    <w:rsid w:val="13775509"/>
    <w:rsid w:val="16670D09"/>
    <w:rsid w:val="18D31CB0"/>
    <w:rsid w:val="1FF2556F"/>
    <w:rsid w:val="2B684F3B"/>
    <w:rsid w:val="31587008"/>
    <w:rsid w:val="3CFB7D10"/>
    <w:rsid w:val="3D09078B"/>
    <w:rsid w:val="3DD6091C"/>
    <w:rsid w:val="4622794A"/>
    <w:rsid w:val="4C175845"/>
    <w:rsid w:val="550059FC"/>
    <w:rsid w:val="5EA12B9A"/>
    <w:rsid w:val="63E0209F"/>
    <w:rsid w:val="66C03FF3"/>
    <w:rsid w:val="70CF5976"/>
    <w:rsid w:val="75214CF8"/>
    <w:rsid w:val="7C6413F7"/>
    <w:rsid w:val="7F1677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480" w:lineRule="exact"/>
      <w:ind w:firstLine="560" w:firstLineChars="200"/>
    </w:pPr>
    <w:rPr>
      <w:kern w:val="0"/>
    </w:rPr>
  </w:style>
  <w:style w:type="paragraph" w:styleId="3">
    <w:name w:val="Body Text"/>
    <w:basedOn w:val="1"/>
    <w:qFormat/>
    <w:uiPriority w:val="1"/>
    <w:rPr>
      <w:rFonts w:ascii="新宋体" w:hAnsi="新宋体" w:eastAsia="新宋体" w:cs="新宋体"/>
      <w:sz w:val="21"/>
      <w:szCs w:val="21"/>
      <w:lang w:val="zh-CN" w:eastAsia="zh-CN" w:bidi="zh-CN"/>
    </w:rPr>
  </w:style>
  <w:style w:type="paragraph" w:styleId="4">
    <w:name w:val="Plain Text"/>
    <w:basedOn w:val="1"/>
    <w:link w:val="17"/>
    <w:qFormat/>
    <w:uiPriority w:val="0"/>
    <w:rPr>
      <w:rFonts w:ascii="宋体" w:hAnsi="Courier New"/>
      <w:sz w:val="24"/>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szCs w:val="24"/>
    </w:rPr>
  </w:style>
  <w:style w:type="character" w:styleId="11">
    <w:name w:val="annotation reference"/>
    <w:semiHidden/>
    <w:unhideWhenUsed/>
    <w:qFormat/>
    <w:uiPriority w:val="99"/>
    <w:rPr>
      <w:sz w:val="21"/>
      <w:szCs w:val="21"/>
    </w:rPr>
  </w:style>
  <w:style w:type="paragraph" w:customStyle="1" w:styleId="12">
    <w:name w:val="表格文字"/>
    <w:basedOn w:val="1"/>
    <w:qFormat/>
    <w:uiPriority w:val="0"/>
    <w:pPr>
      <w:spacing w:before="25" w:after="25"/>
    </w:pPr>
    <w:rPr>
      <w:rFonts w:ascii="Calibri" w:hAnsi="Calibri"/>
      <w:bCs/>
      <w:spacing w:val="10"/>
      <w:sz w:val="24"/>
    </w:rPr>
  </w:style>
  <w:style w:type="character" w:customStyle="1" w:styleId="13">
    <w:name w:val="页眉 Char"/>
    <w:basedOn w:val="10"/>
    <w:link w:val="7"/>
    <w:qFormat/>
    <w:uiPriority w:val="99"/>
    <w:rPr>
      <w:rFonts w:ascii="Times New Roman" w:hAnsi="Times New Roman" w:eastAsia="宋体" w:cs="Times New Roman"/>
      <w:sz w:val="18"/>
      <w:szCs w:val="18"/>
    </w:rPr>
  </w:style>
  <w:style w:type="character" w:customStyle="1" w:styleId="14">
    <w:name w:val="页脚 Char"/>
    <w:basedOn w:val="10"/>
    <w:link w:val="6"/>
    <w:qFormat/>
    <w:uiPriority w:val="99"/>
    <w:rPr>
      <w:rFonts w:ascii="Times New Roman" w:hAnsi="Times New Roman" w:eastAsia="宋体" w:cs="Times New Roman"/>
      <w:sz w:val="18"/>
      <w:szCs w:val="18"/>
    </w:rPr>
  </w:style>
  <w:style w:type="character" w:customStyle="1" w:styleId="15">
    <w:name w:val="批注框文本 Char"/>
    <w:basedOn w:val="10"/>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纯文本 Char"/>
    <w:basedOn w:val="10"/>
    <w:link w:val="4"/>
    <w:qFormat/>
    <w:uiPriority w:val="0"/>
    <w:rPr>
      <w:rFonts w:ascii="宋体" w:hAnsi="Courier New" w:eastAsia="宋体" w:cs="Times New Roman"/>
      <w:kern w:val="2"/>
      <w:sz w:val="24"/>
    </w:rPr>
  </w:style>
  <w:style w:type="character" w:customStyle="1" w:styleId="18">
    <w:name w:val="textcontents"/>
    <w:qFormat/>
    <w:uiPriority w:val="0"/>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1262</Words>
  <Characters>7200</Characters>
  <Lines>60</Lines>
  <Paragraphs>16</Paragraphs>
  <TotalTime>106</TotalTime>
  <ScaleCrop>false</ScaleCrop>
  <LinksUpToDate>false</LinksUpToDate>
  <CharactersWithSpaces>8446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2019-11-22T10:33:00Z</dcterms:created>
  <dc:creator>微软用户</dc:creator>
  <cp:lastModifiedBy>李俐</cp:lastModifiedBy>
  <dcterms:modified xsi:type="dcterms:W3CDTF">2021-06-04T06:52:25Z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B884337E87304295A7AD67CBAAC16112</vt:lpwstr>
  </property>
</Properties>
</file>