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rPr>
              <w:t>受审核部门：</w:t>
            </w:r>
            <w:r>
              <w:rPr>
                <w:rFonts w:hint="eastAsia" w:ascii="Times New Roman" w:hAnsi="Times New Roman" w:eastAsia="宋体" w:cs="Times New Roman"/>
                <w:sz w:val="24"/>
                <w:szCs w:val="24"/>
                <w:lang w:val="en-US" w:eastAsia="zh-CN"/>
              </w:rPr>
              <w:t xml:space="preserve">生产技术科    </w:t>
            </w:r>
            <w:r>
              <w:rPr>
                <w:rFonts w:hint="eastAsia" w:ascii="Times New Roman" w:hAnsi="Times New Roman" w:eastAsia="宋体" w:cs="Times New Roman"/>
                <w:sz w:val="24"/>
                <w:szCs w:val="24"/>
              </w:rPr>
              <w:t>主管领导：</w:t>
            </w:r>
            <w:r>
              <w:rPr>
                <w:rFonts w:hint="eastAsia" w:ascii="Times New Roman" w:hAnsi="Times New Roman" w:eastAsia="宋体" w:cs="Times New Roman"/>
                <w:sz w:val="24"/>
                <w:szCs w:val="24"/>
                <w:lang w:eastAsia="zh-CN"/>
              </w:rPr>
              <w:t>王蒙清  </w:t>
            </w:r>
            <w:r>
              <w:rPr>
                <w:rFonts w:hint="eastAsia" w:ascii="Times New Roman" w:hAnsi="Times New Roman" w:eastAsia="宋体" w:cs="Times New Roman"/>
                <w:sz w:val="24"/>
                <w:szCs w:val="24"/>
                <w:lang w:val="en-US" w:eastAsia="zh-CN"/>
              </w:rPr>
              <w:t xml:space="preserve">       </w:t>
            </w:r>
            <w:r>
              <w:rPr>
                <w:rFonts w:hint="eastAsia" w:ascii="Times New Roman" w:hAnsi="Times New Roman" w:eastAsia="宋体" w:cs="Times New Roman"/>
                <w:sz w:val="24"/>
                <w:szCs w:val="24"/>
              </w:rPr>
              <w:t>陪同人员：</w:t>
            </w:r>
            <w:r>
              <w:rPr>
                <w:rFonts w:hint="eastAsia" w:ascii="Times New Roman" w:hAnsi="Times New Roman" w:eastAsia="宋体" w:cs="Times New Roman"/>
                <w:sz w:val="24"/>
                <w:szCs w:val="24"/>
                <w:lang w:eastAsia="zh-CN"/>
              </w:rPr>
              <w:t>高树小</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rPr>
              <w:t>审核员：</w:t>
            </w:r>
            <w:r>
              <w:rPr>
                <w:rFonts w:hint="eastAsia" w:cs="Times New Roman"/>
                <w:sz w:val="24"/>
                <w:szCs w:val="24"/>
                <w:lang w:val="en-US" w:eastAsia="zh-CN"/>
              </w:rPr>
              <w:t>姜小清</w:t>
            </w:r>
            <w:r>
              <w:rPr>
                <w:rFonts w:hint="eastAsia" w:ascii="Times New Roman" w:hAnsi="Times New Roman" w:eastAsia="宋体" w:cs="Times New Roman"/>
                <w:sz w:val="24"/>
                <w:szCs w:val="24"/>
                <w:lang w:val="en-US" w:eastAsia="zh-CN"/>
              </w:rPr>
              <w:t xml:space="preserve">           </w:t>
            </w:r>
            <w:r>
              <w:rPr>
                <w:rFonts w:hint="eastAsia" w:ascii="Times New Roman" w:hAnsi="Times New Roman" w:eastAsia="宋体" w:cs="Times New Roman"/>
                <w:sz w:val="24"/>
                <w:szCs w:val="24"/>
              </w:rPr>
              <w:t>审核时间</w:t>
            </w:r>
            <w:r>
              <w:rPr>
                <w:rFonts w:hint="eastAsia" w:ascii="宋体" w:hAnsi="宋体" w:eastAsia="宋体" w:cs="宋体"/>
                <w:sz w:val="24"/>
                <w:szCs w:val="24"/>
              </w:rPr>
              <w:t>：</w:t>
            </w:r>
            <w:r>
              <w:rPr>
                <w:rFonts w:hint="eastAsia" w:ascii="宋体" w:hAnsi="宋体" w:cs="宋体"/>
                <w:sz w:val="24"/>
                <w:szCs w:val="24"/>
                <w:lang w:val="en-US" w:eastAsia="zh-CN"/>
              </w:rPr>
              <w:t>2021.6.7</w:t>
            </w:r>
            <w:bookmarkStart w:id="0" w:name="_GoBack"/>
            <w:bookmarkEnd w:id="0"/>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snapToGrid w:val="0"/>
              <w:spacing w:line="320" w:lineRule="exact"/>
              <w:ind w:left="180" w:hanging="240" w:hangingChars="100"/>
              <w:jc w:val="left"/>
              <w:rPr>
                <w:sz w:val="24"/>
                <w:szCs w:val="24"/>
              </w:rPr>
            </w:pPr>
            <w:r>
              <w:rPr>
                <w:rFonts w:hint="eastAsia"/>
                <w:sz w:val="24"/>
                <w:szCs w:val="24"/>
              </w:rPr>
              <w:t>审核条款</w:t>
            </w:r>
            <w:r>
              <w:rPr>
                <w:rFonts w:hint="eastAsia" w:ascii="宋体" w:hAnsi="宋体" w:eastAsia="宋体" w:cs="宋体"/>
                <w:sz w:val="24"/>
                <w:szCs w:val="24"/>
              </w:rPr>
              <w:t>：</w:t>
            </w:r>
            <w:r>
              <w:rPr>
                <w:rFonts w:hint="eastAsia" w:ascii="Times New Roman" w:hAnsi="Times New Roman" w:cs="Times New Roman"/>
                <w:sz w:val="24"/>
                <w:szCs w:val="24"/>
                <w:lang w:val="en-US" w:eastAsia="zh-CN"/>
              </w:rPr>
              <w:t>职责和权限、目标指标方案、环境因素、运行控制、能源设计、应急演练、不符合及纠正措施</w:t>
            </w:r>
            <w:r>
              <w:rPr>
                <w:rFonts w:hint="eastAsia" w:asciiTheme="minorEastAsia" w:hAnsiTheme="minorEastAsia" w:eastAsiaTheme="minorEastAsia" w:cstheme="minorEastAsia"/>
                <w:b w:val="0"/>
                <w:bCs w:val="0"/>
                <w:sz w:val="24"/>
                <w:szCs w:val="24"/>
                <w:lang w:val="en-US" w:eastAsia="zh-CN"/>
              </w:rPr>
              <w:t>E\En:5.3/6.2/8.1/8.2/9.1.1/10.1  E:6.1.2/10.2</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1" w:hRule="atLeast"/>
        </w:trPr>
        <w:tc>
          <w:tcPr>
            <w:tcW w:w="2160" w:type="dxa"/>
          </w:tcPr>
          <w:p>
            <w:pPr>
              <w:snapToGrid w:val="0"/>
              <w:spacing w:line="320" w:lineRule="exact"/>
              <w:ind w:left="180" w:hanging="240" w:hangingChars="100"/>
              <w:jc w:val="left"/>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组织的岗位、职责和权限</w:t>
            </w:r>
          </w:p>
          <w:p>
            <w:pPr>
              <w:snapToGrid w:val="0"/>
              <w:spacing w:line="320" w:lineRule="exact"/>
              <w:ind w:left="180" w:hanging="240" w:hangingChars="100"/>
              <w:jc w:val="left"/>
              <w:rPr>
                <w:rFonts w:hint="eastAsia" w:ascii="Times New Roman" w:hAnsi="Times New Roman" w:cs="Times New Roman"/>
                <w:sz w:val="24"/>
                <w:szCs w:val="24"/>
                <w:lang w:val="en-US" w:eastAsia="zh-CN"/>
              </w:rPr>
            </w:pPr>
          </w:p>
        </w:tc>
        <w:tc>
          <w:tcPr>
            <w:tcW w:w="960" w:type="dxa"/>
          </w:tcPr>
          <w:p>
            <w:pPr>
              <w:snapToGrid w:val="0"/>
              <w:spacing w:line="320" w:lineRule="exact"/>
              <w:ind w:left="180" w:hanging="240" w:hangingChars="1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E\En 5.3</w:t>
            </w:r>
          </w:p>
        </w:tc>
        <w:tc>
          <w:tcPr>
            <w:tcW w:w="10004" w:type="dxa"/>
          </w:tcPr>
          <w:p>
            <w:pPr>
              <w:snapToGrid w:val="0"/>
              <w:spacing w:line="320" w:lineRule="exact"/>
              <w:ind w:left="180" w:hanging="240" w:hangingChars="1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技术部主要负责人：李平</w:t>
            </w:r>
          </w:p>
          <w:p>
            <w:pPr>
              <w:snapToGrid w:val="0"/>
              <w:spacing w:line="320" w:lineRule="exact"/>
              <w:ind w:left="180" w:hanging="240" w:hangingChars="1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主要工作内容和职责权限：</w:t>
            </w:r>
          </w:p>
          <w:p>
            <w:pPr>
              <w:snapToGrid w:val="0"/>
              <w:spacing w:line="320" w:lineRule="exact"/>
              <w:ind w:left="180" w:hanging="240" w:hangingChars="1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负责公司的节能设计工作；</w:t>
            </w:r>
          </w:p>
          <w:p>
            <w:pPr>
              <w:snapToGrid w:val="0"/>
              <w:spacing w:line="320" w:lineRule="exact"/>
              <w:ind w:left="180" w:hanging="240" w:hangingChars="1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负责生产设备的节能改造工作；</w:t>
            </w:r>
          </w:p>
          <w:p>
            <w:pPr>
              <w:snapToGrid w:val="0"/>
              <w:spacing w:line="320" w:lineRule="exact"/>
              <w:ind w:left="180" w:hanging="240" w:hangingChars="1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负责生产系统的节能改造工作；</w:t>
            </w:r>
          </w:p>
          <w:p>
            <w:pPr>
              <w:snapToGrid w:val="0"/>
              <w:spacing w:line="320" w:lineRule="exact"/>
              <w:ind w:left="180" w:hanging="240" w:hangingChars="1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负责节能新项目的设计工作；</w:t>
            </w:r>
          </w:p>
          <w:p>
            <w:pPr>
              <w:snapToGrid w:val="0"/>
              <w:spacing w:line="320" w:lineRule="exact"/>
              <w:ind w:left="180" w:hanging="240" w:hangingChars="1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负责技术部相关的环境管理活动</w:t>
            </w:r>
          </w:p>
          <w:p>
            <w:pPr>
              <w:snapToGrid w:val="0"/>
              <w:spacing w:line="320" w:lineRule="exact"/>
              <w:ind w:left="180" w:hanging="240" w:hangingChars="1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负责本部门环境管理体系的运行及环境因素的识别工作</w:t>
            </w:r>
          </w:p>
          <w:p>
            <w:pPr>
              <w:snapToGrid w:val="0"/>
              <w:spacing w:line="320" w:lineRule="exact"/>
              <w:ind w:left="180" w:hanging="240" w:hangingChars="1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包括以上职责在内的具体内容在公司《管理手册》中描述。</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snapToGrid w:val="0"/>
              <w:spacing w:line="320" w:lineRule="exact"/>
              <w:ind w:left="180" w:hanging="240" w:hangingChars="100"/>
              <w:jc w:val="left"/>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目标，能源指标及其实现的策划</w:t>
            </w:r>
          </w:p>
          <w:p>
            <w:pPr>
              <w:snapToGrid w:val="0"/>
              <w:spacing w:line="320" w:lineRule="exact"/>
              <w:ind w:left="180" w:hanging="240" w:hangingChars="100"/>
              <w:jc w:val="left"/>
              <w:rPr>
                <w:rFonts w:hint="eastAsia" w:ascii="Times New Roman" w:hAnsi="Times New Roman" w:cs="Times New Roman"/>
                <w:sz w:val="24"/>
                <w:szCs w:val="24"/>
                <w:lang w:val="en-US" w:eastAsia="zh-CN"/>
              </w:rPr>
            </w:pPr>
          </w:p>
        </w:tc>
        <w:tc>
          <w:tcPr>
            <w:tcW w:w="960" w:type="dxa"/>
          </w:tcPr>
          <w:p>
            <w:pPr>
              <w:snapToGrid w:val="0"/>
              <w:spacing w:line="320" w:lineRule="exact"/>
              <w:ind w:left="180" w:hanging="240" w:hangingChars="1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E\En</w:t>
            </w:r>
          </w:p>
          <w:p>
            <w:pPr>
              <w:snapToGrid w:val="0"/>
              <w:spacing w:line="320" w:lineRule="exact"/>
              <w:ind w:left="180" w:hanging="240" w:hangingChars="1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6.2 </w:t>
            </w:r>
          </w:p>
          <w:p>
            <w:pPr>
              <w:snapToGrid w:val="0"/>
              <w:spacing w:line="320" w:lineRule="exact"/>
              <w:ind w:left="180" w:hanging="240" w:hangingChars="100"/>
              <w:jc w:val="left"/>
              <w:rPr>
                <w:rFonts w:hint="eastAsia" w:ascii="宋体" w:hAnsi="宋体" w:eastAsia="宋体" w:cs="宋体"/>
                <w:sz w:val="24"/>
                <w:szCs w:val="24"/>
                <w:lang w:val="en-US" w:eastAsia="zh-CN"/>
              </w:rPr>
            </w:pPr>
          </w:p>
        </w:tc>
        <w:tc>
          <w:tcPr>
            <w:tcW w:w="10004" w:type="dxa"/>
          </w:tcPr>
          <w:p>
            <w:pPr>
              <w:snapToGrid w:val="0"/>
              <w:spacing w:line="320" w:lineRule="exact"/>
              <w:ind w:left="180" w:hanging="240" w:hangingChars="1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执行《管理手册》及《方针目标管理制度》</w:t>
            </w:r>
          </w:p>
          <w:p>
            <w:pPr>
              <w:snapToGrid w:val="0"/>
              <w:spacing w:line="320" w:lineRule="exact"/>
              <w:ind w:left="180" w:hanging="240" w:hangingChars="10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部门目标：                         考核情况（2021.1-4月）</w:t>
            </w:r>
          </w:p>
          <w:p>
            <w:pPr>
              <w:snapToGrid w:val="0"/>
              <w:spacing w:line="320" w:lineRule="exact"/>
              <w:ind w:left="180" w:hanging="240" w:hangingChars="1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固体废弃物分类处理率100%；            100%</w:t>
            </w:r>
          </w:p>
          <w:p>
            <w:pPr>
              <w:snapToGrid w:val="0"/>
              <w:spacing w:line="320" w:lineRule="exact"/>
              <w:ind w:left="180" w:hanging="240" w:hangingChars="1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火灾事故为0                        0</w:t>
            </w:r>
          </w:p>
          <w:p>
            <w:pPr>
              <w:snapToGrid w:val="0"/>
              <w:spacing w:line="320" w:lineRule="exact"/>
              <w:ind w:left="180" w:hanging="240" w:hangingChars="1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环境污染事故为0                    0</w:t>
            </w:r>
          </w:p>
          <w:p>
            <w:pPr>
              <w:snapToGrid w:val="0"/>
              <w:spacing w:line="320" w:lineRule="exact"/>
              <w:ind w:left="180" w:hanging="240" w:hangingChars="1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查目标完成情况统计表，经查显示目标均已完成。</w:t>
            </w:r>
          </w:p>
          <w:p>
            <w:pPr>
              <w:snapToGrid w:val="0"/>
              <w:spacing w:line="320" w:lineRule="exact"/>
              <w:ind w:left="180" w:hanging="240" w:hangingChars="1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对以上的目标指标制定了管理方案：</w:t>
            </w:r>
          </w:p>
          <w:p>
            <w:pPr>
              <w:snapToGrid w:val="0"/>
              <w:spacing w:line="320" w:lineRule="exact"/>
              <w:ind w:left="180" w:hanging="240" w:hangingChars="1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环境管理方案，查管理方案表，共2项： 1、办公用硒鼓、墨盒等固废；办公废弃物等分类收集保管，交由相应部门处置；</w:t>
            </w:r>
          </w:p>
          <w:p>
            <w:pPr>
              <w:snapToGrid w:val="0"/>
              <w:spacing w:line="320" w:lineRule="exact"/>
              <w:ind w:left="180" w:hanging="240" w:hangingChars="1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2、杜绝火灾发生，制定了管理方案: 制定3项管理方案：.制定相应的管理制度并严格执行，配备必要的防火设施（包括灭火器a、消防栓等）并保证其完好</w:t>
            </w:r>
          </w:p>
          <w:p>
            <w:pPr>
              <w:snapToGrid w:val="0"/>
              <w:spacing w:line="320" w:lineRule="exact"/>
              <w:ind w:left="180" w:hanging="240" w:hangingChars="1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b. 成立应急响应工作小组（见《应急预案》）</w:t>
            </w:r>
          </w:p>
          <w:p>
            <w:pPr>
              <w:snapToGrid w:val="0"/>
              <w:spacing w:line="320" w:lineRule="exact"/>
              <w:ind w:left="180" w:hanging="240" w:hangingChars="1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c. 淘汰过期、报废设备,对灭火器更新；每年进行一次消防演习。执行部门：各部门，检查人：葛少华 ，资金投入8000元，执行日期：长期</w:t>
            </w:r>
          </w:p>
          <w:p>
            <w:pPr>
              <w:snapToGrid w:val="0"/>
              <w:spacing w:line="320" w:lineRule="exact"/>
              <w:ind w:left="180" w:hanging="240" w:hangingChars="1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制定的指标和管理方案基本可行。</w:t>
            </w:r>
          </w:p>
          <w:p>
            <w:pPr>
              <w:snapToGrid w:val="0"/>
              <w:spacing w:line="320" w:lineRule="exact"/>
              <w:ind w:left="180" w:hanging="240" w:hangingChars="100"/>
              <w:jc w:val="left"/>
              <w:rPr>
                <w:rFonts w:hint="eastAsia" w:ascii="宋体" w:hAnsi="宋体" w:eastAsia="宋体" w:cs="宋体"/>
                <w:sz w:val="24"/>
                <w:szCs w:val="24"/>
                <w:lang w:val="en-US" w:eastAsia="zh-CN"/>
              </w:rPr>
            </w:pPr>
          </w:p>
          <w:p>
            <w:pPr>
              <w:snapToGrid w:val="0"/>
              <w:spacing w:line="320" w:lineRule="exact"/>
              <w:ind w:left="180" w:hanging="240" w:hangingChars="1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本部门没有分解能源目标指标，执行公司的目标执行。</w:t>
            </w:r>
          </w:p>
          <w:p>
            <w:pPr>
              <w:snapToGrid w:val="0"/>
              <w:spacing w:line="320" w:lineRule="exact"/>
              <w:ind w:left="180" w:hanging="240" w:hangingChars="100"/>
              <w:jc w:val="left"/>
              <w:rPr>
                <w:rFonts w:hint="eastAsia" w:ascii="宋体" w:hAnsi="宋体" w:eastAsia="宋体" w:cs="宋体"/>
                <w:sz w:val="24"/>
                <w:szCs w:val="24"/>
                <w:lang w:val="en-US" w:eastAsia="zh-CN"/>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2160" w:type="dxa"/>
            <w:vAlign w:val="center"/>
          </w:tcPr>
          <w:p>
            <w:pPr>
              <w:rPr>
                <w:rFonts w:hint="eastAsia" w:ascii="Times New Roman" w:hAnsi="Times New Roman" w:eastAsia="宋体" w:cs="Times New Roman"/>
                <w:kern w:val="2"/>
                <w:sz w:val="21"/>
                <w:szCs w:val="21"/>
                <w:lang w:val="en-US" w:eastAsia="zh-CN" w:bidi="ar-SA"/>
              </w:rPr>
            </w:pPr>
            <w:r>
              <w:rPr>
                <w:rFonts w:hint="eastAsia"/>
                <w:szCs w:val="21"/>
              </w:rPr>
              <w:t>环境因素</w:t>
            </w:r>
          </w:p>
        </w:tc>
        <w:tc>
          <w:tcPr>
            <w:tcW w:w="960" w:type="dxa"/>
            <w:vAlign w:val="center"/>
          </w:tcPr>
          <w:p>
            <w:pPr>
              <w:snapToGrid w:val="0"/>
              <w:spacing w:line="320" w:lineRule="exact"/>
              <w:ind w:left="180" w:hanging="240" w:hangingChars="1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E6.1.2</w:t>
            </w:r>
          </w:p>
          <w:p>
            <w:pPr>
              <w:snapToGrid w:val="0"/>
              <w:spacing w:line="320" w:lineRule="exact"/>
              <w:ind w:left="180" w:hanging="240" w:hangingChars="100"/>
              <w:jc w:val="left"/>
              <w:rPr>
                <w:rFonts w:hint="eastAsia" w:ascii="宋体" w:hAnsi="宋体" w:eastAsia="宋体" w:cs="宋体"/>
                <w:sz w:val="24"/>
                <w:szCs w:val="24"/>
                <w:lang w:val="en-US" w:eastAsia="zh-CN"/>
              </w:rPr>
            </w:pPr>
          </w:p>
        </w:tc>
        <w:tc>
          <w:tcPr>
            <w:tcW w:w="10004" w:type="dxa"/>
            <w:vAlign w:val="center"/>
          </w:tcPr>
          <w:p>
            <w:pPr>
              <w:snapToGrid w:val="0"/>
              <w:spacing w:line="320" w:lineRule="exact"/>
              <w:ind w:left="180" w:hanging="240" w:hangingChars="1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编制了《环境因素的识别与评价控制程序》符合标准要求.</w:t>
            </w:r>
          </w:p>
          <w:p>
            <w:pPr>
              <w:snapToGrid w:val="0"/>
              <w:spacing w:line="320" w:lineRule="exact"/>
              <w:ind w:left="180" w:hanging="240" w:hangingChars="1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提供的“环境因素识别评价表”， 评价考虑了三种时态现在、过去、将来、三种状态、异常、正常、紧急考虑了法律法规，并进行了评价，露天煤矿的开采过程相关的服务，用打分法考虑了法规符合性、发生频次、影响范围等, 通过定性判断法，共识别出重大环境因素2项：固废排放、火灾，评价符合程序要求及公司的实际情况。</w:t>
            </w:r>
          </w:p>
          <w:p>
            <w:pPr>
              <w:snapToGrid w:val="0"/>
              <w:spacing w:line="320" w:lineRule="exact"/>
              <w:ind w:left="180" w:hanging="240" w:hangingChars="10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对重要环境因素的控制措施包括制定管理制度、监督检查、应急预案、培训等。提供《重要环境因素识别清单》，其中综合办涉及的重要环境因素：固废排放、意外火灾的发生，评价基本合理。</w:t>
            </w:r>
          </w:p>
        </w:tc>
        <w:tc>
          <w:tcPr>
            <w:tcW w:w="1585"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2160" w:type="dxa"/>
            <w:vAlign w:val="top"/>
          </w:tcPr>
          <w:p>
            <w:pPr>
              <w:rPr>
                <w:rFonts w:hint="eastAsia"/>
                <w:lang w:val="en-US" w:eastAsia="zh-CN"/>
              </w:rPr>
            </w:pPr>
            <w:r>
              <w:rPr>
                <w:rFonts w:hint="eastAsia"/>
                <w:lang w:val="en-US" w:eastAsia="zh-CN"/>
              </w:rPr>
              <w:t>运行策划和控制</w:t>
            </w:r>
          </w:p>
          <w:p>
            <w:pPr>
              <w:pStyle w:val="13"/>
              <w:rPr>
                <w:rFonts w:hint="eastAsia" w:ascii="宋体" w:hAnsi="宋体" w:eastAsia="宋体" w:cs="宋体"/>
                <w:b w:val="0"/>
                <w:bCs w:val="0"/>
                <w:color w:val="auto"/>
                <w:sz w:val="24"/>
                <w:szCs w:val="24"/>
                <w:lang w:val="en-US" w:eastAsia="zh-CN"/>
              </w:rPr>
            </w:pPr>
          </w:p>
          <w:p>
            <w:pPr>
              <w:pStyle w:val="13"/>
              <w:rPr>
                <w:rFonts w:hint="eastAsia" w:ascii="宋体" w:hAnsi="宋体" w:eastAsia="宋体" w:cs="宋体"/>
                <w:b w:val="0"/>
                <w:bCs w:val="0"/>
                <w:color w:val="auto"/>
                <w:sz w:val="24"/>
                <w:szCs w:val="24"/>
                <w:lang w:val="en-US" w:eastAsia="zh-CN"/>
              </w:rPr>
            </w:pPr>
          </w:p>
          <w:p>
            <w:pPr>
              <w:pStyle w:val="13"/>
              <w:rPr>
                <w:rFonts w:hint="eastAsia"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能源设计</w:t>
            </w:r>
          </w:p>
        </w:tc>
        <w:tc>
          <w:tcPr>
            <w:tcW w:w="960" w:type="dxa"/>
            <w:vAlign w:val="top"/>
          </w:tcPr>
          <w:p>
            <w:pPr>
              <w:snapToGrid w:val="0"/>
              <w:spacing w:line="320" w:lineRule="exact"/>
              <w:ind w:left="180" w:hanging="240" w:hangingChars="1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E\En 8.1</w:t>
            </w:r>
          </w:p>
          <w:p>
            <w:pPr>
              <w:snapToGrid w:val="0"/>
              <w:spacing w:line="320" w:lineRule="exact"/>
              <w:ind w:left="180" w:hanging="240" w:hangingChars="100"/>
              <w:jc w:val="left"/>
              <w:rPr>
                <w:rFonts w:hint="eastAsia" w:ascii="宋体" w:hAnsi="宋体" w:eastAsia="宋体" w:cs="宋体"/>
                <w:sz w:val="24"/>
                <w:szCs w:val="24"/>
                <w:lang w:val="en-US" w:eastAsia="zh-CN"/>
              </w:rPr>
            </w:pPr>
          </w:p>
          <w:p>
            <w:pPr>
              <w:snapToGrid w:val="0"/>
              <w:spacing w:line="320" w:lineRule="exact"/>
              <w:ind w:left="180" w:hanging="240" w:hangingChars="1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En 8.2</w:t>
            </w:r>
          </w:p>
          <w:p>
            <w:pPr>
              <w:snapToGrid w:val="0"/>
              <w:spacing w:line="320" w:lineRule="exact"/>
              <w:ind w:left="180" w:hanging="240" w:hangingChars="100"/>
              <w:jc w:val="left"/>
              <w:rPr>
                <w:rFonts w:hint="eastAsia" w:ascii="宋体" w:hAnsi="宋体" w:eastAsia="宋体" w:cs="宋体"/>
                <w:sz w:val="24"/>
                <w:szCs w:val="24"/>
                <w:lang w:val="en-US" w:eastAsia="zh-CN"/>
              </w:rPr>
            </w:pPr>
          </w:p>
        </w:tc>
        <w:tc>
          <w:tcPr>
            <w:tcW w:w="10004" w:type="dxa"/>
            <w:vAlign w:val="top"/>
          </w:tcPr>
          <w:p>
            <w:pPr>
              <w:snapToGrid w:val="0"/>
              <w:spacing w:line="320" w:lineRule="exact"/>
              <w:ind w:left="180" w:hanging="240" w:hangingChars="100"/>
              <w:jc w:val="left"/>
              <w:rPr>
                <w:rFonts w:hint="eastAsia" w:ascii="宋体" w:hAnsi="宋体" w:eastAsia="宋体" w:cs="宋体"/>
                <w:sz w:val="24"/>
                <w:szCs w:val="24"/>
                <w:lang w:val="en-US" w:eastAsia="zh-CN"/>
              </w:rPr>
            </w:pPr>
            <w:r>
              <w:rPr>
                <w:rFonts w:hint="default" w:ascii="宋体" w:hAnsi="宋体" w:eastAsia="宋体" w:cs="宋体"/>
                <w:sz w:val="24"/>
                <w:szCs w:val="24"/>
                <w:lang w:val="en-US" w:eastAsia="zh-CN"/>
              </w:rPr>
              <w:t>能源控制：</w:t>
            </w:r>
          </w:p>
          <w:p>
            <w:pPr>
              <w:snapToGrid w:val="0"/>
              <w:spacing w:line="320" w:lineRule="exact"/>
              <w:ind w:left="180" w:hanging="240" w:hangingChars="1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编制了《能源管理制度汇编》、《安全生产经济运行作业指导书汇编》包括“日常能源管理要求、生产设备的节能操作规定”等内容；</w:t>
            </w:r>
          </w:p>
          <w:p>
            <w:pPr>
              <w:snapToGrid w:val="0"/>
              <w:spacing w:line="320" w:lineRule="exact"/>
              <w:ind w:left="180" w:hanging="240" w:hangingChars="1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编制了《节约能源管理办法》包括“管理机构与职责、节能基础管理、节能技术管理、节能技术措施、节能监测与管理、宣传、教育与培训”等；具体“加强耗能设备的使用和维护管理。对于严重超耗的设备，采取停运、封存、更新改造等措施，加以控制。</w:t>
            </w:r>
          </w:p>
          <w:p>
            <w:pPr>
              <w:snapToGrid w:val="0"/>
              <w:spacing w:line="320" w:lineRule="exact"/>
              <w:ind w:left="180" w:hanging="240" w:hangingChars="100"/>
              <w:jc w:val="left"/>
              <w:rPr>
                <w:rFonts w:hint="eastAsia" w:ascii="宋体" w:hAnsi="宋体" w:eastAsia="宋体" w:cs="宋体"/>
                <w:sz w:val="24"/>
                <w:szCs w:val="24"/>
                <w:lang w:val="en-US" w:eastAsia="zh-CN"/>
              </w:rPr>
            </w:pPr>
          </w:p>
          <w:p>
            <w:pPr>
              <w:snapToGrid w:val="0"/>
              <w:spacing w:line="320" w:lineRule="exact"/>
              <w:ind w:left="180" w:hanging="240" w:hangingChars="1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一、资源量</w:t>
            </w:r>
          </w:p>
          <w:p>
            <w:pPr>
              <w:snapToGrid w:val="0"/>
              <w:spacing w:line="320" w:lineRule="exact"/>
              <w:ind w:left="180" w:hanging="240" w:hangingChars="1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本矿田内资源储量为438.61Mt(地表境界)，设计可采储量44.26Mt(开采境界)，可采原煤量266.24Mt(开采境界)。</w:t>
            </w:r>
          </w:p>
          <w:p>
            <w:pPr>
              <w:snapToGrid w:val="0"/>
              <w:spacing w:line="320" w:lineRule="exact"/>
              <w:ind w:left="180" w:hanging="240" w:hangingChars="1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露天矿设计生产能力为5.00Mt/a。</w:t>
            </w:r>
          </w:p>
          <w:p>
            <w:pPr>
              <w:snapToGrid w:val="0"/>
              <w:spacing w:line="320" w:lineRule="exact"/>
              <w:ind w:left="180" w:hanging="240" w:hangingChars="1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按1.1的储量备用系数，计算矿山一期服务年限为48.40a。</w:t>
            </w:r>
          </w:p>
          <w:p>
            <w:pPr>
              <w:snapToGrid w:val="0"/>
              <w:spacing w:line="320" w:lineRule="exact"/>
              <w:ind w:left="180" w:hanging="240" w:hangingChars="1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第二节  产品方案</w:t>
            </w:r>
          </w:p>
          <w:p>
            <w:pPr>
              <w:snapToGrid w:val="0"/>
              <w:spacing w:line="320" w:lineRule="exact"/>
              <w:ind w:left="180" w:hanging="240" w:hangingChars="1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一、原煤质量</w:t>
            </w:r>
          </w:p>
          <w:p>
            <w:pPr>
              <w:snapToGrid w:val="0"/>
              <w:spacing w:line="320" w:lineRule="exact"/>
              <w:ind w:left="180" w:hanging="240" w:hangingChars="1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本露天矿的煤为褐煤，原煤平均灰分为15.91%，原煤内在水分13.46%，属中高水分煤；原煤硫份为2.08%，属中高硫分煤；原煤干燥基高位发热量为23.27MJ/kg，属于中高热值煤。</w:t>
            </w:r>
          </w:p>
          <w:p>
            <w:pPr>
              <w:snapToGrid w:val="0"/>
              <w:spacing w:line="320" w:lineRule="exact"/>
              <w:ind w:left="180" w:hanging="240" w:hangingChars="1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二、产品定位</w:t>
            </w:r>
          </w:p>
          <w:p>
            <w:pPr>
              <w:snapToGrid w:val="0"/>
              <w:spacing w:line="320" w:lineRule="exact"/>
              <w:ind w:left="180" w:hanging="240" w:hangingChars="1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煤的产品方案必须依据煤的用户对煤的要求确定。本矿的主要用户为电厂，其对煤质的要求为：发热量Qnet.ar大于2800kcal/kg，粒度小于100mm，灰分Ad小于15.00%，水分Mt小于44.50%，硫分St小于1.50%。由于本区产品煤硫分属中高硫煤，且以有机硫为主，因此对应的电厂应配备相应的脱硫及回收硫的装置，以满足环保要求，实现综合利用。</w:t>
            </w:r>
          </w:p>
          <w:p>
            <w:pPr>
              <w:snapToGrid w:val="0"/>
              <w:spacing w:line="320" w:lineRule="exact"/>
              <w:ind w:left="180" w:hanging="240" w:hangingChars="1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三、原煤的加工</w:t>
            </w:r>
          </w:p>
          <w:p>
            <w:pPr>
              <w:snapToGrid w:val="0"/>
              <w:spacing w:line="320" w:lineRule="exact"/>
              <w:ind w:left="180" w:hanging="240" w:hangingChars="1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为了稳定原煤质量，对本矿毛煤进行适当地分选排矸。由于本露天矿生产原煤为低变质程度的褐煤，基于此特殊煤种具有内在水分比较高且矸石泥化比较严重的特点，因此对毛煤若采用湿法分选降灰以提高发热量，其幅度不会很大，反而增加了更多的外在水分，对提高煤炭发热量不利，并且带来煤泥水处理等新的难题。考虑到本矿生产原煤硫分较高，所以原煤必须进行分选加工，本矿原煤采用智能干法选煤技术进行选矸。需增加建设块煤智能排矸系统，以满足环保政策的需要。最终产品平衡表见下表：</w:t>
            </w:r>
          </w:p>
          <w:p>
            <w:pPr>
              <w:snapToGrid w:val="0"/>
              <w:spacing w:line="320" w:lineRule="exact"/>
              <w:ind w:left="180" w:hanging="240" w:hangingChars="1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四、运输方案</w:t>
            </w:r>
          </w:p>
          <w:p>
            <w:pPr>
              <w:snapToGrid w:val="0"/>
              <w:spacing w:line="320" w:lineRule="exact"/>
              <w:ind w:left="180" w:hanging="240" w:hangingChars="1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结合推荐的开采工艺和芒来露天矿煤层赋存规律，将运煤通道设置在工作帮南侧，运煤卡车出入沟设置在采场西南角,运煤自卸卡车经煤层顶板到工作帮的移动运煤坑线，经运煤出入沟，运到设在地面的半固定破碎站。</w:t>
            </w:r>
          </w:p>
          <w:p>
            <w:pPr>
              <w:snapToGrid w:val="0"/>
              <w:spacing w:line="320" w:lineRule="exact"/>
              <w:ind w:left="180" w:hanging="240" w:hangingChars="1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剥离物运输通道共有东北角和西北角两处，剥离物经液压装载到运岩自卸卡车，运岩自卸卡车可以就近通过其中一条运输通道到达外排土场(内排时为内排土场)排弃。</w:t>
            </w:r>
          </w:p>
          <w:p>
            <w:pPr>
              <w:snapToGrid w:val="0"/>
              <w:spacing w:line="320" w:lineRule="exact"/>
              <w:ind w:left="180" w:hanging="240" w:hangingChars="100"/>
              <w:jc w:val="left"/>
              <w:rPr>
                <w:rFonts w:hint="eastAsia" w:ascii="宋体" w:hAnsi="宋体" w:eastAsia="宋体" w:cs="宋体"/>
                <w:sz w:val="24"/>
                <w:szCs w:val="24"/>
                <w:lang w:val="en-US" w:eastAsia="zh-CN"/>
              </w:rPr>
            </w:pPr>
          </w:p>
          <w:p>
            <w:pPr>
              <w:snapToGrid w:val="0"/>
              <w:spacing w:line="320" w:lineRule="exact"/>
              <w:ind w:left="180" w:hanging="240" w:hangingChars="1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五、  露天矿工业场地</w:t>
            </w:r>
          </w:p>
          <w:p>
            <w:pPr>
              <w:snapToGrid w:val="0"/>
              <w:spacing w:line="320" w:lineRule="exact"/>
              <w:ind w:left="180" w:hanging="240" w:hangingChars="1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依据首采区位置及本矿煤层赋存条件、地形特征、地面生产系统及总平面布置等因素，结合露天矿采掘场开采现状，从改扩建基建工程量大小、煤层赋存是否可靠进行分析，利用既有采坑外扩的方案，即利用原芒来露天矿采坑向南和东两个方向外扩。</w:t>
            </w:r>
          </w:p>
          <w:p>
            <w:pPr>
              <w:snapToGrid w:val="0"/>
              <w:spacing w:line="320" w:lineRule="exact"/>
              <w:ind w:left="180" w:hanging="240" w:hangingChars="1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根据露天矿排土场选择原则及外排总量要求，并结合推荐的拉沟位置、开采工艺、采区划分及开采程序，在拉沟位置附近的境界外北侧和西侧，布置北排土场、西南排土场。</w:t>
            </w:r>
          </w:p>
          <w:p>
            <w:pPr>
              <w:snapToGrid w:val="0"/>
              <w:spacing w:line="320" w:lineRule="exact"/>
              <w:ind w:left="180" w:hanging="240" w:hangingChars="1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工业场地场址经多方案比较，确定工业场地（为生活及辅助设施区）位于露天矿首采区采掘场的北部境界外200m处，北排土场西侧底部边界400m以外；生产场地靠近铁路装车线；工业场地地势平坦，受烟尘及煤尘影响较小，生产场地的人流及煤炭的外运方便。露天矿地面总布置见下图。</w:t>
            </w:r>
          </w:p>
          <w:p>
            <w:pPr>
              <w:snapToGrid w:val="0"/>
              <w:spacing w:line="320" w:lineRule="exact"/>
              <w:ind w:left="180" w:hanging="240" w:hangingChars="100"/>
              <w:jc w:val="left"/>
              <w:rPr>
                <w:rFonts w:hint="default" w:ascii="宋体" w:hAnsi="宋体" w:eastAsia="宋体" w:cs="宋体"/>
                <w:sz w:val="24"/>
                <w:szCs w:val="24"/>
                <w:lang w:val="en-US" w:eastAsia="zh-CN"/>
              </w:rPr>
            </w:pPr>
          </w:p>
          <w:p>
            <w:pPr>
              <w:snapToGrid w:val="0"/>
              <w:spacing w:line="320" w:lineRule="exact"/>
              <w:ind w:left="180" w:hanging="240" w:hangingChars="100"/>
              <w:jc w:val="left"/>
              <w:rPr>
                <w:rFonts w:hint="default" w:ascii="宋体" w:hAnsi="宋体" w:eastAsia="宋体" w:cs="宋体"/>
                <w:sz w:val="24"/>
                <w:szCs w:val="24"/>
                <w:lang w:val="en-US" w:eastAsia="zh-CN"/>
              </w:rPr>
            </w:pPr>
          </w:p>
          <w:p>
            <w:pPr>
              <w:snapToGrid w:val="0"/>
              <w:spacing w:line="320" w:lineRule="exact"/>
              <w:ind w:left="180" w:hanging="240" w:hangingChars="1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查生产计划完成情况：</w:t>
            </w:r>
          </w:p>
          <w:p>
            <w:pPr>
              <w:snapToGrid w:val="0"/>
              <w:spacing w:line="320" w:lineRule="exact"/>
              <w:ind w:left="180" w:hanging="240" w:hangingChars="1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提供2020年能源消费量汇总表：</w:t>
            </w:r>
          </w:p>
          <w:p>
            <w:pPr>
              <w:snapToGrid w:val="0"/>
              <w:spacing w:line="320" w:lineRule="exact"/>
              <w:ind w:left="180" w:hanging="240" w:hangingChars="1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淘汰落后耗能设备：</w:t>
            </w:r>
          </w:p>
          <w:p>
            <w:pPr>
              <w:snapToGrid w:val="0"/>
              <w:spacing w:line="320" w:lineRule="exact"/>
              <w:ind w:left="180" w:hanging="240" w:hangingChars="10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提供生产设备清单、公司目前正在施工的是新破碎机的安装、老旧设备已经淘汰；</w:t>
            </w:r>
          </w:p>
          <w:p>
            <w:pPr>
              <w:snapToGrid w:val="0"/>
              <w:spacing w:line="320" w:lineRule="exact"/>
              <w:ind w:left="180" w:hanging="240" w:hangingChars="1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另挖掘装载运输车辆、破碎机等大型矿用设备、设备的运行状况基本符合要求、无更换必要；</w:t>
            </w:r>
          </w:p>
          <w:p>
            <w:pPr>
              <w:snapToGrid w:val="0"/>
              <w:spacing w:line="320" w:lineRule="exact"/>
              <w:ind w:left="180" w:hanging="240" w:hangingChars="100"/>
              <w:jc w:val="left"/>
              <w:rPr>
                <w:rFonts w:hint="eastAsia" w:ascii="宋体" w:hAnsi="宋体" w:eastAsia="宋体" w:cs="宋体"/>
                <w:sz w:val="24"/>
                <w:szCs w:val="24"/>
                <w:lang w:val="en-US" w:eastAsia="zh-CN"/>
              </w:rPr>
            </w:pPr>
          </w:p>
          <w:p>
            <w:pPr>
              <w:snapToGrid w:val="0"/>
              <w:spacing w:line="320" w:lineRule="exact"/>
              <w:ind w:left="180" w:hanging="240" w:hangingChars="1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采矿现场审核：</w:t>
            </w:r>
          </w:p>
          <w:p>
            <w:pPr>
              <w:snapToGrid w:val="0"/>
              <w:spacing w:line="320" w:lineRule="exact"/>
              <w:ind w:left="180" w:hanging="240" w:hangingChars="1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距离总部0.5公里现场有数个大小矿坑、作业流程：挖掘机对地表土壤进行挖掘、由装载车辆将土壤装载在运输车辆上运走——挖土过程，车辆行驶到附近规定区域进行卸载、并由其他土建设备堆成小山——堆土过程；挖开的土壤下面露出煤层、由挖掘机和运输车辆进行和美的挖掘和采运（——挖煤过程）、送至破碎工作区由破碎机破碎后运出矿区；</w:t>
            </w:r>
          </w:p>
          <w:p>
            <w:pPr>
              <w:snapToGrid w:val="0"/>
              <w:spacing w:line="320" w:lineRule="exact"/>
              <w:ind w:left="180" w:hanging="240" w:hangingChars="1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现场将矿坑中的雨水回收、经小型污水站处理后进行现场降尘和绿化使用；</w:t>
            </w:r>
          </w:p>
          <w:p>
            <w:pPr>
              <w:snapToGrid w:val="0"/>
              <w:spacing w:line="320" w:lineRule="exact"/>
              <w:ind w:left="180" w:hanging="240" w:hangingChars="1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小型电式锅炉用于人员洗澡热水的制备；</w:t>
            </w:r>
          </w:p>
          <w:p>
            <w:pPr>
              <w:snapToGrid w:val="0"/>
              <w:spacing w:line="320" w:lineRule="exact"/>
              <w:ind w:left="180" w:hanging="240" w:hangingChars="1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——现场发现主要能源使用：“柴汽油”提供车辆运行，电力：提供破碎机等电气设备使用；</w:t>
            </w:r>
          </w:p>
          <w:p>
            <w:pPr>
              <w:snapToGrid w:val="0"/>
              <w:spacing w:line="320" w:lineRule="exact"/>
              <w:ind w:left="180" w:hanging="240" w:hangingChars="1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——主要耗能设备：挖掘装载运输车辆、破碎机等大型矿用设备；</w:t>
            </w:r>
          </w:p>
          <w:p>
            <w:pPr>
              <w:snapToGrid w:val="0"/>
              <w:spacing w:line="320" w:lineRule="exact"/>
              <w:ind w:left="180" w:hanging="240" w:hangingChars="1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——现场观察车辆运行缓慢、人员操作认真仔细、指挥人员指导有方、整个生产现场运行有序、符合能源相关管理规定；</w:t>
            </w:r>
          </w:p>
          <w:p>
            <w:pPr>
              <w:snapToGrid w:val="0"/>
              <w:spacing w:line="320" w:lineRule="exact"/>
              <w:ind w:left="180" w:hanging="240" w:hangingChars="10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p>
          <w:p>
            <w:pPr>
              <w:snapToGrid w:val="0"/>
              <w:spacing w:line="320" w:lineRule="exact"/>
              <w:ind w:left="180" w:hanging="240" w:hangingChars="100"/>
              <w:jc w:val="left"/>
              <w:rPr>
                <w:rFonts w:hint="eastAsia" w:ascii="宋体" w:hAnsi="宋体" w:eastAsia="宋体" w:cs="宋体"/>
                <w:sz w:val="24"/>
                <w:szCs w:val="24"/>
                <w:lang w:val="en-US" w:eastAsia="zh-CN"/>
              </w:rPr>
            </w:pPr>
          </w:p>
          <w:p>
            <w:pPr>
              <w:snapToGrid w:val="0"/>
              <w:spacing w:line="320" w:lineRule="exact"/>
              <w:ind w:left="180" w:hanging="240" w:hangingChars="100"/>
              <w:jc w:val="left"/>
              <w:rPr>
                <w:rFonts w:hint="eastAsia" w:ascii="宋体" w:hAnsi="宋体" w:eastAsia="宋体" w:cs="宋体"/>
                <w:sz w:val="24"/>
                <w:szCs w:val="24"/>
                <w:lang w:val="en-US" w:eastAsia="zh-CN"/>
              </w:rPr>
            </w:pPr>
          </w:p>
          <w:p>
            <w:pPr>
              <w:snapToGrid w:val="0"/>
              <w:spacing w:line="320" w:lineRule="exact"/>
              <w:ind w:left="180" w:hanging="240" w:hangingChars="1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装载运输车辆发生故障、相关部门及时提供维修服务、确保车辆处于正常状态；</w:t>
            </w:r>
          </w:p>
          <w:p>
            <w:pPr>
              <w:snapToGrid w:val="0"/>
              <w:spacing w:line="320" w:lineRule="exact"/>
              <w:ind w:left="180" w:hanging="240" w:hangingChars="100"/>
              <w:jc w:val="left"/>
              <w:rPr>
                <w:rFonts w:hint="eastAsia" w:ascii="宋体" w:hAnsi="宋体" w:eastAsia="宋体" w:cs="宋体"/>
                <w:sz w:val="24"/>
                <w:szCs w:val="24"/>
                <w:lang w:val="en-US" w:eastAsia="zh-CN"/>
              </w:rPr>
            </w:pPr>
          </w:p>
          <w:p>
            <w:pPr>
              <w:snapToGrid w:val="0"/>
              <w:spacing w:line="320" w:lineRule="exact"/>
              <w:ind w:left="180" w:hanging="240" w:hangingChars="1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应急情况：电线起火断电、破碎机停止运转、对设备和生产无影响；</w:t>
            </w:r>
          </w:p>
          <w:p>
            <w:pPr>
              <w:snapToGrid w:val="0"/>
              <w:spacing w:line="320" w:lineRule="exact"/>
              <w:ind w:left="180" w:hanging="240" w:hangingChars="100"/>
              <w:jc w:val="left"/>
              <w:rPr>
                <w:rFonts w:hint="eastAsia" w:ascii="宋体" w:hAnsi="宋体" w:eastAsia="宋体" w:cs="宋体"/>
                <w:sz w:val="24"/>
                <w:szCs w:val="24"/>
                <w:lang w:val="en-US" w:eastAsia="zh-CN"/>
              </w:rPr>
            </w:pPr>
          </w:p>
          <w:p>
            <w:pPr>
              <w:snapToGrid w:val="0"/>
              <w:spacing w:line="320" w:lineRule="exact"/>
              <w:ind w:left="180" w:hanging="240" w:hangingChars="1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配电室：有变压器等调压设备、机箱机柜配电盘等未发现处于空载状态、符合规定；</w:t>
            </w:r>
          </w:p>
          <w:p>
            <w:pPr>
              <w:snapToGrid w:val="0"/>
              <w:spacing w:line="320" w:lineRule="exact"/>
              <w:ind w:left="180" w:hanging="240" w:hangingChars="100"/>
              <w:jc w:val="left"/>
              <w:rPr>
                <w:rFonts w:hint="eastAsia" w:ascii="宋体" w:hAnsi="宋体" w:eastAsia="宋体" w:cs="宋体"/>
                <w:sz w:val="24"/>
                <w:szCs w:val="24"/>
                <w:lang w:val="en-US" w:eastAsia="zh-CN"/>
              </w:rPr>
            </w:pPr>
          </w:p>
          <w:p>
            <w:pPr>
              <w:snapToGrid w:val="0"/>
              <w:spacing w:line="320" w:lineRule="exact"/>
              <w:ind w:left="180" w:hanging="240" w:hangingChars="1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锅炉房：电力加热开水、节能等级达标；</w:t>
            </w:r>
          </w:p>
          <w:p>
            <w:pPr>
              <w:snapToGrid w:val="0"/>
              <w:spacing w:line="320" w:lineRule="exact"/>
              <w:ind w:left="180" w:hanging="240" w:hangingChars="100"/>
              <w:jc w:val="left"/>
              <w:rPr>
                <w:rFonts w:hint="eastAsia" w:ascii="宋体" w:hAnsi="宋体" w:eastAsia="宋体" w:cs="宋体"/>
                <w:sz w:val="24"/>
                <w:szCs w:val="24"/>
                <w:lang w:val="en-US" w:eastAsia="zh-CN"/>
              </w:rPr>
            </w:pPr>
          </w:p>
          <w:p>
            <w:pPr>
              <w:snapToGrid w:val="0"/>
              <w:spacing w:line="320" w:lineRule="exact"/>
              <w:ind w:left="180" w:hanging="240" w:hangingChars="10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小型污水站：水泵将库存雨水抽入经过滤网过滤后排入水池、用于绿化和降尘洒水；水泵电机功率较低（5.5KW）、并处于不定时工作状态、耗能较低；</w:t>
            </w:r>
          </w:p>
          <w:p>
            <w:pPr>
              <w:snapToGrid w:val="0"/>
              <w:spacing w:line="320" w:lineRule="exact"/>
              <w:ind w:left="180" w:hanging="240" w:hangingChars="100"/>
              <w:jc w:val="left"/>
              <w:rPr>
                <w:rFonts w:hint="eastAsia" w:ascii="宋体" w:hAnsi="宋体" w:eastAsia="宋体" w:cs="宋体"/>
                <w:sz w:val="24"/>
                <w:szCs w:val="24"/>
                <w:lang w:val="en-US" w:eastAsia="zh-CN"/>
              </w:rPr>
            </w:pPr>
          </w:p>
          <w:p>
            <w:pPr>
              <w:snapToGrid w:val="0"/>
              <w:spacing w:line="320" w:lineRule="exact"/>
              <w:ind w:left="180" w:hanging="240" w:hangingChars="100"/>
              <w:jc w:val="left"/>
              <w:rPr>
                <w:rFonts w:hint="eastAsia" w:ascii="宋体" w:hAnsi="宋体" w:eastAsia="宋体" w:cs="宋体"/>
                <w:sz w:val="24"/>
                <w:szCs w:val="24"/>
                <w:lang w:val="en-US" w:eastAsia="zh-CN"/>
              </w:rPr>
            </w:pPr>
          </w:p>
          <w:p>
            <w:pPr>
              <w:snapToGrid w:val="0"/>
              <w:spacing w:line="320" w:lineRule="exact"/>
              <w:ind w:left="180" w:hanging="240" w:hangingChars="1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柴汽油计量：车辆到当地加油站加油、耗油量通过发票数据收集计算；</w:t>
            </w:r>
          </w:p>
          <w:p>
            <w:pPr>
              <w:snapToGrid w:val="0"/>
              <w:spacing w:line="320" w:lineRule="exact"/>
              <w:ind w:left="180" w:hanging="240" w:hangingChars="100"/>
              <w:jc w:val="left"/>
              <w:rPr>
                <w:rFonts w:hint="default" w:ascii="宋体" w:hAnsi="宋体" w:eastAsia="宋体" w:cs="宋体"/>
                <w:sz w:val="24"/>
                <w:szCs w:val="24"/>
                <w:lang w:val="en-US" w:eastAsia="zh-CN"/>
              </w:rPr>
            </w:pPr>
          </w:p>
          <w:p>
            <w:pPr>
              <w:snapToGrid w:val="0"/>
              <w:spacing w:line="320" w:lineRule="exact"/>
              <w:ind w:left="180" w:hanging="240" w:hangingChars="100"/>
              <w:jc w:val="left"/>
              <w:rPr>
                <w:rFonts w:hint="default" w:ascii="宋体" w:hAnsi="宋体" w:eastAsia="宋体" w:cs="宋体"/>
                <w:sz w:val="24"/>
                <w:szCs w:val="24"/>
                <w:lang w:val="en-US" w:eastAsia="zh-CN"/>
              </w:rPr>
            </w:pPr>
          </w:p>
          <w:p>
            <w:pPr>
              <w:snapToGrid w:val="0"/>
              <w:spacing w:line="320" w:lineRule="exact"/>
              <w:ind w:left="180" w:hanging="240" w:hangingChars="100"/>
              <w:jc w:val="left"/>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环境控制：</w:t>
            </w:r>
          </w:p>
          <w:p>
            <w:pPr>
              <w:snapToGrid w:val="0"/>
              <w:spacing w:line="320" w:lineRule="exact"/>
              <w:ind w:left="180" w:hanging="240" w:hangingChars="1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1.编制了《能源管理制度》、《环境管理制度》、《生产设备操作规程》等；</w:t>
            </w:r>
          </w:p>
          <w:p>
            <w:pPr>
              <w:snapToGrid w:val="0"/>
              <w:spacing w:line="320" w:lineRule="exact"/>
              <w:ind w:left="180" w:hanging="240" w:hangingChars="10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2、废水管控：办公废水主要生活废水，经过生活污水处理设施，不外排，用于绿化</w:t>
            </w:r>
          </w:p>
          <w:p>
            <w:pPr>
              <w:snapToGrid w:val="0"/>
              <w:spacing w:line="320" w:lineRule="exact"/>
              <w:ind w:left="180" w:hanging="240" w:hangingChars="1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3废气管控：办公现场基本无废气排放。</w:t>
            </w:r>
          </w:p>
          <w:p>
            <w:pPr>
              <w:snapToGrid w:val="0"/>
              <w:spacing w:line="320" w:lineRule="exact"/>
              <w:ind w:left="180" w:hanging="240" w:hangingChars="1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4、声管控：办公噪声主要是复印机运行，噪声较低，采取措施按时清洁保养。</w:t>
            </w:r>
          </w:p>
          <w:p>
            <w:pPr>
              <w:snapToGrid w:val="0"/>
              <w:spacing w:line="320" w:lineRule="exact"/>
              <w:ind w:left="180" w:hanging="240" w:hangingChars="1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5、固废管控：主要为生活垃圾，综合部有垃圾篓集中倒入垃圾站由市政环卫运送至统一地点集中处理。</w:t>
            </w:r>
          </w:p>
          <w:p>
            <w:pPr>
              <w:snapToGrid w:val="0"/>
              <w:spacing w:line="320" w:lineRule="exact"/>
              <w:ind w:left="180" w:hanging="240" w:hangingChars="1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6、能源资源管控：办公过程注意节水、节电、节油，人走关闭开关，现场采用声控节能灯，未发现有漏水和浪费电能的现象。</w:t>
            </w:r>
          </w:p>
          <w:p>
            <w:pPr>
              <w:snapToGrid w:val="0"/>
              <w:spacing w:line="320" w:lineRule="exact"/>
              <w:ind w:left="180" w:hanging="240" w:hangingChars="1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7、潜在火灾管控公司办公配备有灭火栓、灭火器，消防通道畅通，每半年有检查，符合要求。</w:t>
            </w:r>
          </w:p>
          <w:p>
            <w:pPr>
              <w:snapToGrid w:val="0"/>
              <w:spacing w:line="320" w:lineRule="exact"/>
              <w:ind w:left="180" w:hanging="240" w:hangingChars="10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8、环境防护：公司对厂区环境进行美化，种植绿树，有约10000平米小花园，同时公司人员不随地吐痰、不乱扔纸屑、注意保护环境。</w:t>
            </w:r>
          </w:p>
          <w:p>
            <w:pPr>
              <w:snapToGrid w:val="0"/>
              <w:spacing w:line="320" w:lineRule="exact"/>
              <w:ind w:left="180" w:hanging="240" w:hangingChars="10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9.公司食堂油烟安装有油烟净化装置，食堂油烟达标排放，废水装有隔油池，废水排放到生活污水处理站，达标后不外排，进行绿化</w:t>
            </w:r>
          </w:p>
          <w:p>
            <w:pPr>
              <w:snapToGrid w:val="0"/>
              <w:spacing w:line="320" w:lineRule="exact"/>
              <w:ind w:left="180" w:hanging="240" w:hangingChars="10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10.生活固废排放：由生活垃圾由锡林郭勒盟慧丰清轩服务有限公司，进行收集清运，见到协议及营业执照，见附件</w:t>
            </w:r>
          </w:p>
          <w:p>
            <w:pPr>
              <w:snapToGrid w:val="0"/>
              <w:spacing w:line="320" w:lineRule="exact"/>
              <w:ind w:left="180" w:hanging="240" w:hangingChars="10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环境及能源运行符合要求</w:t>
            </w:r>
          </w:p>
        </w:tc>
        <w:tc>
          <w:tcPr>
            <w:tcW w:w="1585"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0" w:hRule="atLeast"/>
        </w:trPr>
        <w:tc>
          <w:tcPr>
            <w:tcW w:w="216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sz w:val="24"/>
                <w:szCs w:val="24"/>
              </w:rPr>
              <w:t>不符合和纠正措施</w:t>
            </w:r>
          </w:p>
        </w:tc>
        <w:tc>
          <w:tcPr>
            <w:tcW w:w="960" w:type="dxa"/>
            <w:vAlign w:val="top"/>
          </w:tcPr>
          <w:p>
            <w:pPr>
              <w:snapToGrid w:val="0"/>
              <w:spacing w:line="320" w:lineRule="exact"/>
              <w:ind w:left="180" w:hanging="240" w:hangingChars="1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E\En </w:t>
            </w:r>
          </w:p>
          <w:p>
            <w:pPr>
              <w:snapToGrid w:val="0"/>
              <w:spacing w:line="320" w:lineRule="exact"/>
              <w:ind w:left="180" w:hanging="240" w:hangingChars="1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10.1</w:t>
            </w:r>
          </w:p>
          <w:p>
            <w:pPr>
              <w:snapToGrid w:val="0"/>
              <w:spacing w:line="320" w:lineRule="exact"/>
              <w:ind w:left="180" w:hanging="240" w:hangingChars="100"/>
              <w:jc w:val="left"/>
              <w:rPr>
                <w:rFonts w:hint="eastAsia" w:ascii="宋体" w:hAnsi="宋体" w:eastAsia="宋体" w:cs="宋体"/>
                <w:sz w:val="24"/>
                <w:szCs w:val="24"/>
                <w:lang w:val="en-US" w:eastAsia="zh-CN"/>
              </w:rPr>
            </w:pPr>
          </w:p>
        </w:tc>
        <w:tc>
          <w:tcPr>
            <w:tcW w:w="10004" w:type="dxa"/>
            <w:vAlign w:val="top"/>
          </w:tcPr>
          <w:p>
            <w:pPr>
              <w:snapToGrid w:val="0"/>
              <w:spacing w:line="320" w:lineRule="exact"/>
              <w:ind w:left="180" w:hanging="240" w:hangingChars="1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编制了《纠正措施和预防措施通知单》包括“不符合采取措施控制并纠正；任何纠正措施的结果、不符合的原因 性质和采取的任何后续措施；确定是否存在或是否可能发生类似的不符合；实施任何所需的措施；评审所采取的任何纠正措施的有效性；必要时，对能源管理体系进行变更改”等内容；</w:t>
            </w:r>
          </w:p>
          <w:p>
            <w:pPr>
              <w:snapToGrid w:val="0"/>
              <w:spacing w:line="320" w:lineRule="exact"/>
              <w:jc w:val="left"/>
              <w:rPr>
                <w:rFonts w:hint="eastAsia" w:ascii="宋体" w:hAnsi="宋体" w:eastAsia="宋体" w:cs="宋体"/>
                <w:sz w:val="24"/>
                <w:szCs w:val="24"/>
                <w:lang w:val="en-US" w:eastAsia="zh-CN"/>
              </w:rPr>
            </w:pPr>
          </w:p>
        </w:tc>
        <w:tc>
          <w:tcPr>
            <w:tcW w:w="1585" w:type="dxa"/>
            <w:vAlign w:val="top"/>
          </w:tcPr>
          <w:p/>
        </w:tc>
      </w:tr>
    </w:tbl>
    <w:p>
      <w:r>
        <w:ptab w:relativeTo="margin" w:alignment="center" w:leader="none"/>
      </w:r>
    </w:p>
    <w:p/>
    <w:p/>
    <w:p>
      <w:pPr>
        <w:pStyle w:val="8"/>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43"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8"/>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9"/>
      <w:pBdr>
        <w:bottom w:val="none" w:color="auto" w:sz="0" w:space="0"/>
      </w:pBdr>
      <w:spacing w:line="320" w:lineRule="exact"/>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6350" b="1016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CEGquXWAAAACgEAAA8AAAAAAAAAAQAgAAAAIgAAAGRycy9kb3ducmV2Lnht&#10;bFBLAQIUABQAAAAIAIdO4kBMBgIRwgEAAHcDAAAOAAAAAAAAAAEAIAAAACUBAABkcnMvZTJvRG9j&#10;LnhtbFBLBQYAAAAABgAGAFkBAABZBQ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mc:Fallback>
      </mc:AlternateContent>
    </w:r>
    <w:r>
      <w:rPr>
        <w:rStyle w:val="17"/>
        <w:rFonts w:hint="default"/>
        <w:w w:val="90"/>
      </w:rPr>
      <w:t>Beijing International Standard united Certification Co.,Ltd.</w:t>
    </w:r>
  </w:p>
  <w:p>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9A63EB"/>
    <w:rsid w:val="1BBA6D12"/>
    <w:rsid w:val="20434BC1"/>
    <w:rsid w:val="289163DA"/>
    <w:rsid w:val="34D875B7"/>
    <w:rsid w:val="38992321"/>
    <w:rsid w:val="3B244308"/>
    <w:rsid w:val="3FAA28AE"/>
    <w:rsid w:val="417764C6"/>
    <w:rsid w:val="4D305845"/>
    <w:rsid w:val="53F25BEA"/>
    <w:rsid w:val="5DEE0416"/>
    <w:rsid w:val="60E45655"/>
    <w:rsid w:val="7989522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unhideWhenUsed/>
    <w:qFormat/>
    <w:uiPriority w:val="0"/>
    <w:pPr>
      <w:autoSpaceDE w:val="0"/>
      <w:autoSpaceDN w:val="0"/>
      <w:adjustRightInd w:val="0"/>
      <w:spacing w:beforeLines="0" w:after="0" w:afterLines="0" w:line="360" w:lineRule="auto"/>
      <w:ind w:left="0" w:firstLine="420" w:firstLineChars="200"/>
      <w:jc w:val="left"/>
    </w:pPr>
    <w:rPr>
      <w:rFonts w:hint="default"/>
      <w:kern w:val="0"/>
      <w:sz w:val="24"/>
    </w:rPr>
  </w:style>
  <w:style w:type="paragraph" w:styleId="3">
    <w:name w:val="Body Text Indent"/>
    <w:basedOn w:val="1"/>
    <w:next w:val="4"/>
    <w:unhideWhenUsed/>
    <w:qFormat/>
    <w:uiPriority w:val="0"/>
    <w:pPr>
      <w:spacing w:beforeLines="0" w:after="120" w:afterLines="0"/>
      <w:ind w:left="200" w:leftChars="200"/>
    </w:pPr>
    <w:rPr>
      <w:rFonts w:hint="default"/>
      <w:sz w:val="24"/>
    </w:rPr>
  </w:style>
  <w:style w:type="paragraph" w:styleId="4">
    <w:name w:val="toc 3"/>
    <w:basedOn w:val="1"/>
    <w:next w:val="1"/>
    <w:unhideWhenUsed/>
    <w:qFormat/>
    <w:uiPriority w:val="0"/>
    <w:pPr>
      <w:spacing w:beforeLines="0" w:afterLines="0"/>
      <w:ind w:left="400" w:leftChars="400"/>
    </w:pPr>
    <w:rPr>
      <w:rFonts w:hint="default"/>
      <w:sz w:val="21"/>
    </w:rPr>
  </w:style>
  <w:style w:type="paragraph" w:styleId="5">
    <w:name w:val="Body Text"/>
    <w:basedOn w:val="1"/>
    <w:qFormat/>
    <w:uiPriority w:val="1"/>
    <w:pPr>
      <w:autoSpaceDE w:val="0"/>
      <w:autoSpaceDN w:val="0"/>
      <w:spacing w:before="92"/>
      <w:ind w:left="980" w:firstLine="480"/>
      <w:jc w:val="left"/>
    </w:pPr>
    <w:rPr>
      <w:rFonts w:ascii="宋体" w:hAnsi="宋体" w:cs="宋体"/>
      <w:kern w:val="0"/>
      <w:sz w:val="24"/>
      <w:szCs w:val="24"/>
      <w:lang w:val="zh-CN" w:bidi="zh-CN"/>
    </w:rPr>
  </w:style>
  <w:style w:type="paragraph" w:styleId="6">
    <w:name w:val="Plain Text"/>
    <w:basedOn w:val="1"/>
    <w:qFormat/>
    <w:uiPriority w:val="0"/>
    <w:rPr>
      <w:rFonts w:ascii="宋体" w:hAnsi="Courier New" w:cs="Courier New"/>
      <w:szCs w:val="21"/>
    </w:rPr>
  </w:style>
  <w:style w:type="paragraph" w:styleId="7">
    <w:name w:val="Balloon Text"/>
    <w:basedOn w:val="1"/>
    <w:link w:val="16"/>
    <w:semiHidden/>
    <w:unhideWhenUsed/>
    <w:qFormat/>
    <w:uiPriority w:val="99"/>
    <w:rPr>
      <w:sz w:val="18"/>
      <w:szCs w:val="18"/>
    </w:rPr>
  </w:style>
  <w:style w:type="paragraph" w:styleId="8">
    <w:name w:val="footer"/>
    <w:basedOn w:val="1"/>
    <w:link w:val="15"/>
    <w:unhideWhenUsed/>
    <w:qFormat/>
    <w:uiPriority w:val="99"/>
    <w:pPr>
      <w:tabs>
        <w:tab w:val="center" w:pos="4153"/>
        <w:tab w:val="right" w:pos="8306"/>
      </w:tabs>
      <w:snapToGrid w:val="0"/>
      <w:jc w:val="left"/>
    </w:pPr>
    <w:rPr>
      <w:sz w:val="18"/>
      <w:szCs w:val="18"/>
    </w:rPr>
  </w:style>
  <w:style w:type="paragraph" w:styleId="9">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Body Text First Indent"/>
    <w:basedOn w:val="5"/>
    <w:semiHidden/>
    <w:unhideWhenUsed/>
    <w:qFormat/>
    <w:uiPriority w:val="99"/>
    <w:pPr>
      <w:autoSpaceDE/>
      <w:autoSpaceDN/>
      <w:spacing w:before="0" w:after="120"/>
      <w:ind w:left="0" w:firstLine="420" w:firstLineChars="100"/>
      <w:jc w:val="both"/>
    </w:pPr>
    <w:rPr>
      <w:rFonts w:ascii="Times New Roman" w:hAnsi="Times New Roman" w:cs="Times New Roman"/>
      <w:kern w:val="2"/>
      <w:sz w:val="21"/>
      <w:szCs w:val="20"/>
      <w:lang w:val="en-US" w:bidi="ar-SA"/>
    </w:rPr>
  </w:style>
  <w:style w:type="paragraph" w:customStyle="1" w:styleId="13">
    <w:name w:val="表格文字"/>
    <w:basedOn w:val="1"/>
    <w:qFormat/>
    <w:uiPriority w:val="0"/>
    <w:pPr>
      <w:spacing w:before="25" w:after="25"/>
    </w:pPr>
    <w:rPr>
      <w:bCs/>
      <w:spacing w:val="10"/>
    </w:rPr>
  </w:style>
  <w:style w:type="character" w:customStyle="1" w:styleId="14">
    <w:name w:val="页眉 Char"/>
    <w:basedOn w:val="12"/>
    <w:link w:val="9"/>
    <w:qFormat/>
    <w:uiPriority w:val="99"/>
    <w:rPr>
      <w:rFonts w:ascii="Times New Roman" w:hAnsi="Times New Roman" w:eastAsia="宋体" w:cs="Times New Roman"/>
      <w:sz w:val="18"/>
      <w:szCs w:val="18"/>
    </w:rPr>
  </w:style>
  <w:style w:type="character" w:customStyle="1" w:styleId="15">
    <w:name w:val="页脚 Char"/>
    <w:basedOn w:val="12"/>
    <w:link w:val="8"/>
    <w:qFormat/>
    <w:uiPriority w:val="99"/>
    <w:rPr>
      <w:rFonts w:ascii="Times New Roman" w:hAnsi="Times New Roman" w:eastAsia="宋体" w:cs="Times New Roman"/>
      <w:sz w:val="18"/>
      <w:szCs w:val="18"/>
    </w:rPr>
  </w:style>
  <w:style w:type="character" w:customStyle="1" w:styleId="16">
    <w:name w:val="批注框文本 Char"/>
    <w:basedOn w:val="12"/>
    <w:link w:val="7"/>
    <w:semiHidden/>
    <w:qFormat/>
    <w:uiPriority w:val="99"/>
    <w:rPr>
      <w:rFonts w:ascii="Times New Roman" w:hAnsi="Times New Roman" w:eastAsia="宋体" w:cs="Times New Roman"/>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正文001"/>
    <w:basedOn w:val="1"/>
    <w:qFormat/>
    <w:uiPriority w:val="0"/>
    <w:pPr>
      <w:spacing w:line="500" w:lineRule="exact"/>
      <w:ind w:firstLine="200" w:firstLineChars="200"/>
    </w:pPr>
    <w:rPr>
      <w:rFonts w:eastAsia="华文中宋" w:cs="华文中宋"/>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5</TotalTime>
  <ScaleCrop>false</ScaleCrop>
  <LinksUpToDate>false</LinksUpToDate>
  <CharactersWithSpaces>101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TonyJiang</cp:lastModifiedBy>
  <dcterms:modified xsi:type="dcterms:W3CDTF">2021-06-06T11:31:00Z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B990813B6CEF40078C0B91DE1BED4225</vt:lpwstr>
  </property>
</Properties>
</file>