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eastAsia"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受审核部门： </w:t>
            </w:r>
            <w:r>
              <w:rPr>
                <w:rFonts w:hint="eastAsia" w:ascii="Times New Roman" w:hAnsi="Times New Roman" w:eastAsia="宋体" w:cs="Times New Roman"/>
                <w:sz w:val="24"/>
                <w:szCs w:val="24"/>
                <w:lang w:val="en-US" w:eastAsia="zh-CN"/>
              </w:rPr>
              <w:t>机电</w:t>
            </w:r>
            <w:r>
              <w:rPr>
                <w:rFonts w:hint="eastAsia" w:cs="Times New Roman"/>
                <w:sz w:val="24"/>
                <w:szCs w:val="24"/>
                <w:lang w:val="en-US" w:eastAsia="zh-CN"/>
              </w:rPr>
              <w:t>科</w:t>
            </w:r>
            <w:r>
              <w:rPr>
                <w:rFonts w:hint="eastAsia" w:ascii="Times New Roman" w:hAnsi="Times New Roman" w:eastAsia="宋体" w:cs="Times New Roman"/>
                <w:sz w:val="24"/>
                <w:szCs w:val="24"/>
              </w:rPr>
              <w:t xml:space="preserve">     </w:t>
            </w:r>
            <w:r>
              <w:rPr>
                <w:rFonts w:hint="eastAsia" w:cs="Times New Roman"/>
                <w:sz w:val="24"/>
                <w:szCs w:val="24"/>
                <w:lang w:val="en-US" w:eastAsia="zh-CN"/>
              </w:rPr>
              <w:t xml:space="preserve">   </w:t>
            </w:r>
            <w:r>
              <w:rPr>
                <w:rFonts w:hint="eastAsia" w:ascii="Times New Roman" w:hAnsi="Times New Roman" w:eastAsia="宋体" w:cs="Times New Roman"/>
                <w:sz w:val="24"/>
                <w:szCs w:val="24"/>
              </w:rPr>
              <w:t xml:space="preserve">   主管领导：王辛     陪同人员：</w:t>
            </w:r>
            <w:r>
              <w:rPr>
                <w:rFonts w:hint="eastAsia" w:cs="Times New Roman"/>
                <w:sz w:val="24"/>
                <w:szCs w:val="24"/>
                <w:lang w:val="en-US" w:eastAsia="zh-CN"/>
              </w:rPr>
              <w:t>高树小</w:t>
            </w:r>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004" w:type="dxa"/>
            <w:vAlign w:val="center"/>
          </w:tcPr>
          <w:p>
            <w:pPr>
              <w:rPr>
                <w:rFonts w:hint="default" w:ascii="Times New Roman" w:hAnsi="Times New Roman" w:eastAsia="宋体" w:cs="Times New Roman"/>
                <w:sz w:val="24"/>
                <w:szCs w:val="24"/>
                <w:lang w:val="en-US" w:eastAsia="zh-CN"/>
              </w:rPr>
            </w:pPr>
            <w:r>
              <w:rPr>
                <w:rFonts w:hint="eastAsia" w:ascii="Times New Roman" w:hAnsi="Times New Roman" w:eastAsia="宋体" w:cs="Times New Roman"/>
                <w:sz w:val="24"/>
                <w:szCs w:val="24"/>
              </w:rPr>
              <w:t xml:space="preserve">审核员：    </w:t>
            </w:r>
            <w:r>
              <w:rPr>
                <w:rFonts w:hint="eastAsia" w:ascii="Times New Roman" w:hAnsi="Times New Roman" w:eastAsia="宋体" w:cs="Times New Roman"/>
                <w:sz w:val="24"/>
                <w:szCs w:val="24"/>
                <w:lang w:val="en-US" w:eastAsia="zh-CN"/>
              </w:rPr>
              <w:t>姜小清</w:t>
            </w:r>
            <w:r>
              <w:rPr>
                <w:rFonts w:hint="eastAsia"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 xml:space="preserve">       </w:t>
            </w:r>
            <w:r>
              <w:rPr>
                <w:rFonts w:hint="eastAsia" w:ascii="Times New Roman" w:hAnsi="Times New Roman" w:eastAsia="宋体" w:cs="Times New Roman"/>
                <w:sz w:val="24"/>
                <w:szCs w:val="24"/>
              </w:rPr>
              <w:t xml:space="preserve">  </w:t>
            </w:r>
            <w:r>
              <w:rPr>
                <w:rFonts w:hint="eastAsia" w:ascii="宋体" w:hAnsi="宋体" w:eastAsia="宋体" w:cs="宋体"/>
                <w:sz w:val="24"/>
                <w:szCs w:val="24"/>
              </w:rPr>
              <w:t>审核时间：</w:t>
            </w:r>
            <w:r>
              <w:rPr>
                <w:rFonts w:hint="eastAsia" w:ascii="宋体" w:hAnsi="宋体" w:cs="宋体"/>
                <w:sz w:val="24"/>
                <w:szCs w:val="24"/>
                <w:lang w:val="en-US" w:eastAsia="zh-CN"/>
              </w:rPr>
              <w:t>2021.6.8</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004" w:type="dxa"/>
            <w:vAlign w:val="center"/>
          </w:tcPr>
          <w:p>
            <w:pPr>
              <w:snapToGrid w:val="0"/>
              <w:spacing w:line="320" w:lineRule="exact"/>
              <w:ind w:left="180" w:hanging="240" w:hangingChars="100"/>
              <w:jc w:val="left"/>
              <w:rPr>
                <w:sz w:val="24"/>
                <w:szCs w:val="24"/>
              </w:rPr>
            </w:pPr>
            <w:r>
              <w:rPr>
                <w:rFonts w:hint="eastAsia"/>
                <w:sz w:val="24"/>
                <w:szCs w:val="24"/>
              </w:rPr>
              <w:t>审核条款：</w:t>
            </w:r>
            <w:r>
              <w:rPr>
                <w:rFonts w:hint="eastAsia" w:asciiTheme="minorEastAsia" w:hAnsiTheme="minorEastAsia" w:eastAsiaTheme="minorEastAsia" w:cstheme="minorEastAsia"/>
                <w:b w:val="0"/>
                <w:bCs w:val="0"/>
                <w:sz w:val="18"/>
                <w:szCs w:val="18"/>
                <w:u w:val="none"/>
                <w:lang w:val="en-US" w:eastAsia="zh-CN"/>
              </w:rPr>
              <w:t>职责和权限、目标指标方案、设备维护保养计划及实施、落后设备淘汰、外包方采购中的环境因素控制、能源采购及合格供方评价、合同评审、不符合及纠正措施</w:t>
            </w:r>
            <w:r>
              <w:rPr>
                <w:rFonts w:hint="eastAsia" w:asciiTheme="minorEastAsia" w:hAnsiTheme="minorEastAsia" w:eastAsiaTheme="minorEastAsia" w:cstheme="minorEastAsia"/>
                <w:b w:val="0"/>
                <w:bCs w:val="0"/>
                <w:sz w:val="18"/>
                <w:szCs w:val="18"/>
                <w:lang w:val="en-US" w:eastAsia="zh-CN"/>
              </w:rPr>
              <w:t xml:space="preserve"> </w:t>
            </w:r>
            <w:r>
              <w:rPr>
                <w:rFonts w:hint="eastAsia" w:asciiTheme="minorEastAsia" w:hAnsiTheme="minorEastAsia" w:eastAsiaTheme="minorEastAsia" w:cstheme="minorEastAsia"/>
                <w:b/>
                <w:bCs/>
                <w:sz w:val="18"/>
                <w:szCs w:val="18"/>
                <w:u w:val="none"/>
                <w:lang w:val="en-US" w:eastAsia="zh-CN"/>
              </w:rPr>
              <w:t>E\En</w:t>
            </w:r>
            <w:r>
              <w:rPr>
                <w:rFonts w:hint="eastAsia" w:asciiTheme="minorEastAsia" w:hAnsiTheme="minorEastAsia" w:eastAsiaTheme="minorEastAsia" w:cstheme="minorEastAsia"/>
                <w:b w:val="0"/>
                <w:bCs w:val="0"/>
                <w:sz w:val="18"/>
                <w:szCs w:val="18"/>
                <w:u w:val="none"/>
                <w:lang w:val="en-US" w:eastAsia="zh-CN"/>
              </w:rPr>
              <w:t xml:space="preserve">:5.3/6.2/8.1/10.1  </w:t>
            </w:r>
            <w:r>
              <w:rPr>
                <w:rFonts w:hint="eastAsia" w:asciiTheme="minorEastAsia" w:hAnsiTheme="minorEastAsia" w:eastAsiaTheme="minorEastAsia" w:cstheme="minorEastAsia"/>
                <w:b/>
                <w:bCs/>
                <w:sz w:val="18"/>
                <w:szCs w:val="18"/>
                <w:u w:val="none"/>
                <w:lang w:val="en-US" w:eastAsia="zh-CN"/>
              </w:rPr>
              <w:t>En</w:t>
            </w:r>
            <w:r>
              <w:rPr>
                <w:rFonts w:hint="eastAsia" w:asciiTheme="minorEastAsia" w:hAnsiTheme="minorEastAsia" w:eastAsiaTheme="minorEastAsia" w:cstheme="minorEastAsia"/>
                <w:b w:val="0"/>
                <w:bCs w:val="0"/>
                <w:sz w:val="18"/>
                <w:szCs w:val="18"/>
                <w:u w:val="none"/>
                <w:lang w:val="en-US" w:eastAsia="zh-CN"/>
              </w:rPr>
              <w:t>:8.3/10.2</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5"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组织的岗位、职责和权限</w:t>
            </w:r>
          </w:p>
          <w:p>
            <w:pPr>
              <w:rPr>
                <w:rFonts w:hint="eastAsia" w:ascii="宋体" w:hAnsi="宋体" w:eastAsia="宋体" w:cs="宋体"/>
                <w:sz w:val="24"/>
                <w:szCs w:val="24"/>
                <w:lang w:val="en-US" w:eastAsia="zh-CN"/>
              </w:rPr>
            </w:pP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5.3 </w:t>
            </w:r>
          </w:p>
          <w:p>
            <w:pPr>
              <w:rPr>
                <w:rFonts w:hint="eastAsia" w:ascii="宋体" w:hAnsi="宋体" w:eastAsia="宋体" w:cs="宋体"/>
                <w:sz w:val="24"/>
                <w:szCs w:val="24"/>
                <w:lang w:val="en-US" w:eastAsia="zh-CN"/>
              </w:rPr>
            </w:pPr>
          </w:p>
        </w:tc>
        <w:tc>
          <w:tcPr>
            <w:tcW w:w="10004"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能源岗位人员和岗位设置：</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部门共</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人、其中</w:t>
            </w:r>
            <w:r>
              <w:rPr>
                <w:rFonts w:hint="eastAsia" w:ascii="宋体" w:hAnsi="宋体" w:cs="宋体"/>
                <w:sz w:val="24"/>
                <w:szCs w:val="24"/>
                <w:lang w:val="en-US" w:eastAsia="zh-CN"/>
              </w:rPr>
              <w:t>主管1</w:t>
            </w:r>
            <w:r>
              <w:rPr>
                <w:rFonts w:hint="eastAsia" w:ascii="宋体" w:hAnsi="宋体" w:eastAsia="宋体" w:cs="宋体"/>
                <w:sz w:val="24"/>
                <w:szCs w:val="24"/>
                <w:lang w:val="en-US" w:eastAsia="zh-CN"/>
              </w:rPr>
              <w:t>名、其他维修采购文员等；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主要工作内容和职责权限：</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负责合格供方评定及物资采购工作，能源物资、环保设备的采购、每月对本部门管理目标完成情况进行绩效考核，并考核能源消耗情况。</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按照公司环境和能源要求操作、参与风险评价及环境因素评价、负责日常环境和能源检查、本部门的环境和能源的培训和教育宣传、不符合的调查和原因分析和纠正及纠正措施和预防措施的实施检查；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设置了（兼）职环境能源及安全员1名；查其环境安全能源职责内容、包括日常环安能源巡查及定期检查、现场不符合纠正及纠正和预防措施必要性分析、实施及实施验证等；</w:t>
            </w:r>
          </w:p>
        </w:tc>
        <w:tc>
          <w:tcPr>
            <w:tcW w:w="1585" w:type="dxa"/>
            <w:vAlign w:val="top"/>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目标，能源指标及其实现的策划</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环境目标及其实现的策划 </w:t>
            </w:r>
          </w:p>
          <w:p>
            <w:pPr>
              <w:rPr>
                <w:rFonts w:hint="eastAsia" w:ascii="宋体" w:hAnsi="宋体" w:eastAsia="宋体" w:cs="宋体"/>
                <w:sz w:val="24"/>
                <w:szCs w:val="24"/>
                <w:lang w:val="en-US" w:eastAsia="zh-CN"/>
              </w:rPr>
            </w:pPr>
          </w:p>
        </w:tc>
        <w:tc>
          <w:tcPr>
            <w:tcW w:w="9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6.2 </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tc>
        <w:tc>
          <w:tcPr>
            <w:tcW w:w="10004" w:type="dxa"/>
            <w:vAlign w:val="top"/>
          </w:tcPr>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执行公司级能源目标指标</w:t>
            </w:r>
            <w:r>
              <w:rPr>
                <w:rFonts w:hint="eastAsia" w:ascii="宋体" w:hAnsi="宋体" w:cs="宋体"/>
                <w:sz w:val="24"/>
                <w:szCs w:val="24"/>
                <w:lang w:val="en-US" w:eastAsia="zh-CN"/>
              </w:rPr>
              <w:t>；</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环境目标、指标——“火灾事故发生率为0”、“废弃物分类处理达到要求”；</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方案：日常注意节水节电防止跑冒滴漏等、工作中注意固废收集分类处置、防止火灾的发生等；</w:t>
            </w: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2020年环境目标指标达成；</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能源目标同公司级标准；</w:t>
            </w:r>
          </w:p>
        </w:tc>
        <w:tc>
          <w:tcPr>
            <w:tcW w:w="1585" w:type="dxa"/>
          </w:tcPr>
          <w:p>
            <w:pP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vAlign w:val="top"/>
          </w:tcPr>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运行策划和控制</w:t>
            </w:r>
            <w:r>
              <w:rPr>
                <w:rFonts w:hint="eastAsia" w:ascii="宋体" w:hAnsi="宋体" w:cs="宋体"/>
                <w:sz w:val="24"/>
                <w:szCs w:val="24"/>
                <w:lang w:val="en-US" w:eastAsia="zh-CN"/>
              </w:rPr>
              <w:t>（E/En）</w:t>
            </w:r>
          </w:p>
          <w:p>
            <w:pPr>
              <w:rPr>
                <w:rFonts w:hint="eastAsia" w:ascii="宋体" w:hAnsi="宋体" w:eastAsia="宋体" w:cs="宋体"/>
                <w:sz w:val="24"/>
                <w:szCs w:val="24"/>
                <w:lang w:val="en-US" w:eastAsia="zh-CN"/>
              </w:rPr>
            </w:pPr>
            <w:r>
              <w:rPr>
                <w:rFonts w:hint="eastAsia" w:ascii="宋体" w:hAnsi="宋体" w:cs="宋体"/>
                <w:b w:val="0"/>
                <w:bCs w:val="0"/>
                <w:color w:val="auto"/>
                <w:sz w:val="24"/>
                <w:szCs w:val="24"/>
                <w:lang w:val="en-US" w:eastAsia="zh-CN"/>
              </w:rPr>
              <w:t>En</w:t>
            </w:r>
            <w:r>
              <w:rPr>
                <w:rFonts w:hint="eastAsia" w:ascii="宋体" w:hAnsi="宋体" w:eastAsia="宋体" w:cs="宋体"/>
                <w:b w:val="0"/>
                <w:bCs w:val="0"/>
                <w:color w:val="auto"/>
                <w:sz w:val="24"/>
                <w:szCs w:val="24"/>
                <w:lang w:val="en-US" w:eastAsia="zh-CN"/>
              </w:rPr>
              <w:t>采购</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p>
        </w:tc>
        <w:tc>
          <w:tcPr>
            <w:tcW w:w="10004" w:type="dxa"/>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编制了《环境和能源管理制度汇编》包含了本部门的环境能源节能环保要求；</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抽查《地面储运系统设备保养记录》（能源类）日期2021.3.20~21、检修项目“破碎机轴承、尾部轴承”等、内容“润滑油”、保养周期500h、责任人陈义崔进辉（签字确认）；</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维护维修过程中产生工业垃圾零部件废旧设备等交固废库存放统一处置；</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查《机电设备台账》（水泵等）不存在属于国家淘汰目录电机和变压器；提供能源环境采购《合格供方名录》、《外部供应商评价表》包括能源（电力、柴汽油、机电设备）及环境（除尘布袋、垃圾箱转运箱、污水站加药及配件等）供方十余家、包括合同物资编码及名称、企业名称、地址、联系方式、评价信息（质量、交付、服务）等、有编审批日期2020.6.27；</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抽查能源采购合同《1吨流化床燃煤供热锅炉》2019、有双方盖章签字、内容包含脱硫脱硝除尘布袋等物料、其他内容符合法律法规标准、合同有效、有质量要求及双方签字盖章及评审等符合规定；</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外包方负责车辆柴</w:t>
            </w:r>
            <w:bookmarkStart w:id="0" w:name="_GoBack"/>
            <w:bookmarkEnd w:id="0"/>
            <w:r>
              <w:rPr>
                <w:rFonts w:hint="eastAsia" w:ascii="宋体" w:hAnsi="宋体" w:eastAsia="宋体" w:cs="宋体"/>
                <w:color w:val="auto"/>
                <w:sz w:val="24"/>
                <w:szCs w:val="24"/>
                <w:lang w:val="en-US" w:eastAsia="zh-CN"/>
              </w:rPr>
              <w:t>油的采购、中石化加油站加注、通报给本组织加油量做数据收集、查每月数据基本清晰准确；</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trPr>
        <w:tc>
          <w:tcPr>
            <w:tcW w:w="21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sz w:val="24"/>
                <w:szCs w:val="24"/>
              </w:rPr>
              <w:t>不符合和纠正措施</w:t>
            </w:r>
          </w:p>
        </w:tc>
        <w:tc>
          <w:tcPr>
            <w:tcW w:w="960"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rPr>
            </w:pPr>
            <w:r>
              <w:rPr>
                <w:rFonts w:hint="eastAsia" w:ascii="宋体" w:hAnsi="宋体" w:eastAsia="宋体" w:cs="宋体"/>
                <w:sz w:val="24"/>
                <w:szCs w:val="24"/>
              </w:rPr>
              <w:t>10.1</w:t>
            </w:r>
          </w:p>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pPr>
            <w:r>
              <w:rPr>
                <w:rFonts w:hint="eastAsia" w:ascii="宋体" w:hAnsi="宋体" w:eastAsia="宋体" w:cs="宋体"/>
                <w:sz w:val="24"/>
                <w:szCs w:val="24"/>
                <w:lang w:val="en-US" w:eastAsia="zh-CN"/>
              </w:rPr>
              <w:t>10.2</w:t>
            </w:r>
          </w:p>
        </w:tc>
        <w:tc>
          <w:tcPr>
            <w:tcW w:w="10004" w:type="dxa"/>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0" w:lineRule="atLeast"/>
              <w:ind w:left="0" w:leftChars="0" w:right="0" w:rightChars="0" w:firstLine="0" w:firstLineChars="0"/>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编</w:t>
            </w:r>
            <w:r>
              <w:rPr>
                <w:rFonts w:hint="eastAsia" w:ascii="宋体" w:hAnsi="宋体" w:eastAsia="宋体" w:cs="宋体"/>
                <w:color w:val="auto"/>
                <w:sz w:val="24"/>
                <w:szCs w:val="24"/>
                <w:lang w:val="en-US" w:eastAsia="zh-CN"/>
              </w:rPr>
              <w:t>制了《纠正措施和预防措施通知单》包括“不符合采取措施控制并纠正；任何纠正措施的结果</w:t>
            </w:r>
            <w:r>
              <w:rPr>
                <w:rFonts w:hint="eastAsia" w:ascii="宋体" w:hAnsi="宋体" w:cs="宋体"/>
                <w:color w:val="auto"/>
                <w:sz w:val="24"/>
                <w:szCs w:val="24"/>
                <w:lang w:val="en-US" w:eastAsia="zh-CN"/>
              </w:rPr>
              <w:t>、</w:t>
            </w:r>
            <w:r>
              <w:rPr>
                <w:rFonts w:hint="eastAsia" w:ascii="宋体" w:hAnsi="宋体" w:eastAsia="宋体" w:cs="宋体"/>
                <w:color w:val="auto"/>
                <w:sz w:val="24"/>
                <w:szCs w:val="24"/>
                <w:lang w:val="en-US" w:eastAsia="zh-CN"/>
              </w:rPr>
              <w:t>不符合的原因</w:t>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lang w:val="en-US" w:eastAsia="zh-CN"/>
              </w:rPr>
              <w:t>性质和采取的任何后续措施；确定是否存在或是否可能发生类似的不符合；实施任何所需的措施；评审所采取的任何纠正措施的有效性；必要时，对能源管理体系进行变更改”</w:t>
            </w:r>
            <w:r>
              <w:rPr>
                <w:rFonts w:hint="eastAsia" w:ascii="宋体" w:hAnsi="宋体" w:cs="宋体"/>
                <w:color w:val="auto"/>
                <w:sz w:val="24"/>
                <w:szCs w:val="24"/>
                <w:lang w:val="en-US" w:eastAsia="zh-CN"/>
              </w:rPr>
              <w:t>等内容；</w:t>
            </w:r>
          </w:p>
        </w:tc>
        <w:tc>
          <w:tcPr>
            <w:tcW w:w="1585" w:type="dxa"/>
          </w:tcPr>
          <w:p/>
        </w:tc>
      </w:tr>
    </w:tbl>
    <w:p>
      <w:r>
        <w:ptab w:relativeTo="margin" w:alignment="center" w:leader="none"/>
      </w:r>
    </w:p>
    <w:p/>
    <w:p/>
    <w:p>
      <w:pPr>
        <w:pStyle w:val="7"/>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8"/>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5"/>
        <w:rFonts w:hint="default"/>
        <w:w w:val="90"/>
      </w:rPr>
      <w:t>Beijing International Standard united Certification Co.,Ltd.</w:t>
    </w: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2CF105D"/>
    <w:rsid w:val="02FF0FF7"/>
    <w:rsid w:val="05180DC8"/>
    <w:rsid w:val="108219C2"/>
    <w:rsid w:val="11E937AC"/>
    <w:rsid w:val="1B141719"/>
    <w:rsid w:val="24C321AF"/>
    <w:rsid w:val="316413D7"/>
    <w:rsid w:val="3B1334E6"/>
    <w:rsid w:val="442F2BD5"/>
    <w:rsid w:val="45CC5835"/>
    <w:rsid w:val="47CD71C2"/>
    <w:rsid w:val="48B47A3F"/>
    <w:rsid w:val="5EA12B9A"/>
    <w:rsid w:val="65371D30"/>
    <w:rsid w:val="6CF1369E"/>
    <w:rsid w:val="71E2259D"/>
    <w:rsid w:val="756C05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0"/>
    <w:pPr>
      <w:autoSpaceDE w:val="0"/>
      <w:autoSpaceDN w:val="0"/>
      <w:adjustRightInd w:val="0"/>
      <w:spacing w:beforeLines="0" w:after="0" w:afterLines="0" w:line="360" w:lineRule="auto"/>
      <w:ind w:left="0" w:firstLine="420" w:firstLineChars="200"/>
      <w:jc w:val="left"/>
    </w:pPr>
    <w:rPr>
      <w:rFonts w:hint="default"/>
      <w:kern w:val="0"/>
      <w:sz w:val="24"/>
    </w:rPr>
  </w:style>
  <w:style w:type="paragraph" w:styleId="3">
    <w:name w:val="Body Text Indent"/>
    <w:basedOn w:val="1"/>
    <w:next w:val="4"/>
    <w:unhideWhenUsed/>
    <w:qFormat/>
    <w:uiPriority w:val="0"/>
    <w:pPr>
      <w:spacing w:beforeLines="0" w:after="120" w:afterLines="0"/>
      <w:ind w:left="200" w:leftChars="200"/>
    </w:pPr>
    <w:rPr>
      <w:rFonts w:hint="default"/>
      <w:sz w:val="24"/>
    </w:rPr>
  </w:style>
  <w:style w:type="paragraph" w:styleId="4">
    <w:name w:val="toc 3"/>
    <w:basedOn w:val="1"/>
    <w:next w:val="1"/>
    <w:unhideWhenUsed/>
    <w:qFormat/>
    <w:uiPriority w:val="0"/>
    <w:pPr>
      <w:spacing w:beforeLines="0" w:afterLines="0"/>
      <w:ind w:left="400" w:leftChars="400"/>
    </w:pPr>
    <w:rPr>
      <w:rFonts w:hint="default"/>
      <w:sz w:val="21"/>
    </w:rPr>
  </w:style>
  <w:style w:type="paragraph" w:styleId="5">
    <w:name w:val="Body Text"/>
    <w:basedOn w:val="1"/>
    <w:qFormat/>
    <w:uiPriority w:val="0"/>
    <w:rPr>
      <w:sz w:val="24"/>
    </w:rPr>
  </w:style>
  <w:style w:type="paragraph" w:styleId="6">
    <w:name w:val="Balloon Text"/>
    <w:basedOn w:val="1"/>
    <w:link w:val="14"/>
    <w:semiHidden/>
    <w:unhideWhenUsed/>
    <w:qFormat/>
    <w:uiPriority w:val="99"/>
    <w:rPr>
      <w:sz w:val="18"/>
      <w:szCs w:val="18"/>
    </w:rPr>
  </w:style>
  <w:style w:type="paragraph" w:styleId="7">
    <w:name w:val="footer"/>
    <w:basedOn w:val="1"/>
    <w:link w:val="13"/>
    <w:unhideWhenUsed/>
    <w:qFormat/>
    <w:uiPriority w:val="99"/>
    <w:pPr>
      <w:tabs>
        <w:tab w:val="center" w:pos="4153"/>
        <w:tab w:val="right" w:pos="8306"/>
      </w:tabs>
      <w:snapToGrid w:val="0"/>
      <w:jc w:val="left"/>
    </w:pPr>
    <w:rPr>
      <w:sz w:val="18"/>
      <w:szCs w:val="18"/>
    </w:rPr>
  </w:style>
  <w:style w:type="paragraph" w:styleId="8">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页眉 字符"/>
    <w:basedOn w:val="11"/>
    <w:link w:val="8"/>
    <w:qFormat/>
    <w:uiPriority w:val="99"/>
    <w:rPr>
      <w:rFonts w:ascii="Times New Roman" w:hAnsi="Times New Roman" w:eastAsia="宋体" w:cs="Times New Roman"/>
      <w:sz w:val="18"/>
      <w:szCs w:val="18"/>
    </w:rPr>
  </w:style>
  <w:style w:type="character" w:customStyle="1" w:styleId="13">
    <w:name w:val="页脚 字符"/>
    <w:basedOn w:val="11"/>
    <w:link w:val="7"/>
    <w:qFormat/>
    <w:uiPriority w:val="99"/>
    <w:rPr>
      <w:rFonts w:ascii="Times New Roman" w:hAnsi="Times New Roman" w:eastAsia="宋体" w:cs="Times New Roman"/>
      <w:sz w:val="18"/>
      <w:szCs w:val="18"/>
    </w:rPr>
  </w:style>
  <w:style w:type="character" w:customStyle="1" w:styleId="14">
    <w:name w:val="批注框文本 字符"/>
    <w:basedOn w:val="11"/>
    <w:link w:val="6"/>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3</TotalTime>
  <ScaleCrop>false</ScaleCrop>
  <LinksUpToDate>false</LinksUpToDate>
  <CharactersWithSpaces>147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TonyJiang</cp:lastModifiedBy>
  <dcterms:modified xsi:type="dcterms:W3CDTF">2021-06-06T11:25:48Z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