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6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59"/>
        <w:gridCol w:w="12250"/>
        <w:gridCol w:w="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27"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sz w:val="21"/>
                <w:szCs w:val="21"/>
              </w:rPr>
            </w:pPr>
            <w:r>
              <w:rPr>
                <w:rFonts w:hint="eastAsia"/>
                <w:sz w:val="21"/>
                <w:szCs w:val="21"/>
              </w:rPr>
              <w:t>过程与活动、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1"/>
                <w:szCs w:val="21"/>
              </w:rPr>
            </w:pPr>
            <w:r>
              <w:rPr>
                <w:rFonts w:hint="eastAsia"/>
                <w:sz w:val="21"/>
                <w:szCs w:val="21"/>
              </w:rPr>
              <w:t>抽样计划</w:t>
            </w:r>
          </w:p>
        </w:tc>
        <w:tc>
          <w:tcPr>
            <w:tcW w:w="7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涉及</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条款</w:t>
            </w:r>
          </w:p>
        </w:tc>
        <w:tc>
          <w:tcPr>
            <w:tcW w:w="1225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sz w:val="21"/>
                <w:szCs w:val="21"/>
                <w:lang w:val="en-US" w:eastAsia="zh-CN"/>
              </w:rPr>
            </w:pPr>
            <w:r>
              <w:rPr>
                <w:rFonts w:hint="eastAsia"/>
                <w:sz w:val="21"/>
                <w:szCs w:val="21"/>
              </w:rPr>
              <w:t>受审核部门：</w:t>
            </w:r>
            <w:r>
              <w:rPr>
                <w:rFonts w:hint="eastAsia"/>
                <w:sz w:val="21"/>
                <w:szCs w:val="21"/>
                <w:lang w:val="en-US" w:eastAsia="zh-CN"/>
              </w:rPr>
              <w:t xml:space="preserve">管理层            </w:t>
            </w:r>
            <w:r>
              <w:rPr>
                <w:rFonts w:hint="eastAsia"/>
                <w:sz w:val="21"/>
                <w:szCs w:val="21"/>
              </w:rPr>
              <w:t>主管领导</w:t>
            </w:r>
            <w:r>
              <w:rPr>
                <w:rFonts w:hint="eastAsia"/>
                <w:sz w:val="21"/>
                <w:szCs w:val="21"/>
                <w:lang w:eastAsia="zh-CN"/>
              </w:rPr>
              <w:t>：</w:t>
            </w:r>
            <w:r>
              <w:rPr>
                <w:rFonts w:hint="eastAsia"/>
                <w:sz w:val="21"/>
                <w:szCs w:val="21"/>
                <w:lang w:val="en-US" w:eastAsia="zh-CN"/>
              </w:rPr>
              <w:t>徐俊强</w:t>
            </w:r>
          </w:p>
        </w:tc>
        <w:tc>
          <w:tcPr>
            <w:tcW w:w="36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c>
          <w:tcPr>
            <w:tcW w:w="7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c>
          <w:tcPr>
            <w:tcW w:w="12250" w:type="dxa"/>
            <w:vAlign w:val="center"/>
          </w:tcPr>
          <w:p>
            <w:pPr>
              <w:keepNext w:val="0"/>
              <w:keepLines w:val="0"/>
              <w:pageBreakBefore w:val="0"/>
              <w:widowControl w:val="0"/>
              <w:kinsoku/>
              <w:wordWrap/>
              <w:overflowPunct/>
              <w:topLinePunct w:val="0"/>
              <w:autoSpaceDE/>
              <w:autoSpaceDN/>
              <w:bidi w:val="0"/>
              <w:adjustRightInd/>
              <w:snapToGrid/>
              <w:spacing w:before="120" w:line="360" w:lineRule="auto"/>
              <w:textAlignment w:val="auto"/>
              <w:rPr>
                <w:sz w:val="21"/>
                <w:szCs w:val="21"/>
              </w:rPr>
            </w:pPr>
            <w:r>
              <w:rPr>
                <w:rFonts w:hint="eastAsia"/>
                <w:sz w:val="21"/>
                <w:szCs w:val="21"/>
              </w:rPr>
              <w:t>审核员：</w:t>
            </w:r>
            <w:r>
              <w:rPr>
                <w:rFonts w:hint="eastAsia"/>
                <w:sz w:val="21"/>
                <w:szCs w:val="21"/>
                <w:lang w:val="en-US" w:eastAsia="zh-CN"/>
              </w:rPr>
              <w:t xml:space="preserve">刘玉兰     </w:t>
            </w:r>
            <w:r>
              <w:rPr>
                <w:rFonts w:hint="eastAsia"/>
                <w:sz w:val="21"/>
                <w:szCs w:val="21"/>
              </w:rPr>
              <w:t>审核时间：</w:t>
            </w:r>
            <w:r>
              <w:rPr>
                <w:rFonts w:hint="eastAsia"/>
                <w:sz w:val="21"/>
                <w:szCs w:val="21"/>
                <w:lang w:eastAsia="zh-CN"/>
              </w:rPr>
              <w:t>2021-5-2</w:t>
            </w:r>
            <w:r>
              <w:rPr>
                <w:rFonts w:hint="eastAsia"/>
                <w:sz w:val="21"/>
                <w:szCs w:val="21"/>
                <w:lang w:val="en-US" w:eastAsia="zh-CN"/>
              </w:rPr>
              <w:t>3</w:t>
            </w:r>
          </w:p>
        </w:tc>
        <w:tc>
          <w:tcPr>
            <w:tcW w:w="365"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c>
          <w:tcPr>
            <w:tcW w:w="7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c>
          <w:tcPr>
            <w:tcW w:w="1225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1"/>
                <w:szCs w:val="21"/>
              </w:rPr>
            </w:pPr>
            <w:r>
              <w:rPr>
                <w:rFonts w:hint="eastAsia"/>
                <w:color w:val="auto"/>
                <w:sz w:val="21"/>
                <w:szCs w:val="21"/>
              </w:rPr>
              <w:t>审核条款：</w:t>
            </w:r>
            <w:r>
              <w:rPr>
                <w:rFonts w:hint="eastAsia" w:ascii="宋体" w:hAnsi="宋体" w:eastAsia="宋体" w:cs="宋体"/>
                <w:b w:val="0"/>
                <w:bCs/>
                <w:color w:val="auto"/>
                <w:sz w:val="21"/>
                <w:szCs w:val="21"/>
                <w:lang w:val="en-US" w:eastAsia="zh-CN"/>
              </w:rPr>
              <w:t>4.1</w:t>
            </w:r>
            <w:r>
              <w:rPr>
                <w:rFonts w:hint="eastAsia" w:ascii="宋体" w:hAnsi="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4.3</w:t>
            </w:r>
            <w:r>
              <w:rPr>
                <w:rFonts w:hint="eastAsia" w:ascii="宋体" w:hAnsi="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4.4</w:t>
            </w:r>
            <w:r>
              <w:rPr>
                <w:rFonts w:hint="eastAsia" w:ascii="宋体" w:hAnsi="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5.2</w:t>
            </w:r>
            <w:r>
              <w:rPr>
                <w:rFonts w:hint="eastAsia" w:ascii="宋体" w:hAnsi="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7.1</w:t>
            </w:r>
            <w:r>
              <w:rPr>
                <w:rFonts w:hint="eastAsia" w:ascii="宋体" w:hAnsi="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9.1.1</w:t>
            </w:r>
            <w:r>
              <w:rPr>
                <w:rFonts w:hint="eastAsia" w:ascii="宋体" w:hAnsi="宋体" w:cs="宋体"/>
                <w:b w:val="0"/>
                <w:bCs/>
                <w:color w:val="auto"/>
                <w:sz w:val="21"/>
                <w:szCs w:val="21"/>
                <w:lang w:val="en-US" w:eastAsia="zh-CN"/>
              </w:rPr>
              <w:t>；</w:t>
            </w:r>
            <w:r>
              <w:rPr>
                <w:rFonts w:hint="eastAsia" w:ascii="宋体" w:hAnsi="宋体" w:eastAsia="宋体" w:cs="宋体"/>
                <w:b w:val="0"/>
                <w:bCs/>
                <w:color w:val="auto"/>
                <w:sz w:val="21"/>
                <w:szCs w:val="21"/>
              </w:rPr>
              <w:t>9.1.2</w:t>
            </w:r>
            <w:r>
              <w:rPr>
                <w:rFonts w:hint="eastAsia" w:ascii="宋体" w:hAnsi="宋体" w:cs="宋体"/>
                <w:b w:val="0"/>
                <w:bCs/>
                <w:color w:val="auto"/>
                <w:sz w:val="21"/>
                <w:szCs w:val="21"/>
                <w:lang w:eastAsia="zh-CN"/>
              </w:rPr>
              <w:t>；</w:t>
            </w:r>
            <w:r>
              <w:rPr>
                <w:rFonts w:hint="eastAsia" w:ascii="宋体" w:hAnsi="宋体" w:eastAsia="宋体" w:cs="宋体"/>
                <w:b w:val="0"/>
                <w:bCs/>
                <w:color w:val="auto"/>
                <w:sz w:val="21"/>
                <w:szCs w:val="21"/>
                <w:lang w:val="en-US" w:eastAsia="zh-CN"/>
              </w:rPr>
              <w:t>9.3</w:t>
            </w:r>
            <w:r>
              <w:rPr>
                <w:rFonts w:hint="eastAsia" w:ascii="宋体" w:hAnsi="宋体" w:cs="宋体"/>
                <w:b w:val="0"/>
                <w:bCs/>
                <w:color w:val="auto"/>
                <w:sz w:val="21"/>
                <w:szCs w:val="21"/>
                <w:lang w:val="en-US" w:eastAsia="zh-CN"/>
              </w:rPr>
              <w:t>。</w:t>
            </w:r>
            <w:bookmarkStart w:id="2" w:name="_GoBack"/>
            <w:bookmarkEnd w:id="2"/>
          </w:p>
        </w:tc>
        <w:tc>
          <w:tcPr>
            <w:tcW w:w="365"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2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ascii="宋体" w:hAnsi="宋体" w:eastAsia="宋体" w:cs="宋体"/>
                <w:color w:val="auto"/>
                <w:sz w:val="21"/>
                <w:szCs w:val="21"/>
                <w:highlight w:val="none"/>
              </w:rPr>
              <w:t>理解组织及其环境</w:t>
            </w:r>
          </w:p>
        </w:tc>
        <w:tc>
          <w:tcPr>
            <w:tcW w:w="75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ascii="宋体" w:hAnsi="宋体" w:cs="宋体"/>
                <w:b w:val="0"/>
                <w:bCs/>
                <w:color w:val="auto"/>
                <w:sz w:val="21"/>
                <w:szCs w:val="21"/>
                <w:lang w:val="en-US" w:eastAsia="zh-CN"/>
              </w:rPr>
              <w:t>E</w:t>
            </w:r>
            <w:r>
              <w:rPr>
                <w:rFonts w:hint="eastAsia" w:ascii="宋体" w:hAnsi="宋体" w:eastAsia="宋体" w:cs="宋体"/>
                <w:b w:val="0"/>
                <w:bCs/>
                <w:color w:val="auto"/>
                <w:sz w:val="21"/>
                <w:szCs w:val="21"/>
                <w:lang w:val="en-US" w:eastAsia="zh-CN"/>
              </w:rPr>
              <w:t>4.1</w:t>
            </w:r>
          </w:p>
        </w:tc>
        <w:tc>
          <w:tcPr>
            <w:tcW w:w="12250" w:type="dxa"/>
          </w:tcPr>
          <w:p>
            <w:pPr>
              <w:pStyle w:val="3"/>
              <w:keepNext w:val="0"/>
              <w:keepLines w:val="0"/>
              <w:pageBreakBefore w:val="0"/>
              <w:widowControl w:val="0"/>
              <w:kinsoku/>
              <w:wordWrap/>
              <w:overflowPunct/>
              <w:topLinePunct w:val="0"/>
              <w:autoSpaceDE/>
              <w:autoSpaceDN/>
              <w:bidi w:val="0"/>
              <w:spacing w:beforeLines="0" w:afterLines="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rPr>
              <w:t>河北强威服装有限公司始建于2008年，位于河北省石家庄市新华区北二环西路216号（北二环与中华大街交口西南角），占地</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00平</w:t>
            </w:r>
            <w:r>
              <w:rPr>
                <w:rFonts w:hint="eastAsia" w:ascii="宋体" w:hAnsi="宋体" w:eastAsia="宋体" w:cs="宋体"/>
                <w:color w:val="auto"/>
                <w:kern w:val="2"/>
                <w:sz w:val="21"/>
                <w:szCs w:val="21"/>
                <w:highlight w:val="none"/>
                <w:lang w:val="en-US" w:eastAsia="zh-CN"/>
              </w:rPr>
              <w:t>方米，</w:t>
            </w:r>
            <w:r>
              <w:rPr>
                <w:rFonts w:hint="eastAsia" w:ascii="宋体" w:hAnsi="宋体" w:eastAsia="宋体" w:cs="宋体"/>
                <w:color w:val="auto"/>
                <w:sz w:val="21"/>
                <w:szCs w:val="21"/>
                <w:highlight w:val="none"/>
              </w:rPr>
              <w:t>注册资金：2000万</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rPr>
              <w:t>企业类型：有限责任公司（自然人独资），经营范围：标志服、西服、劳保服、环卫服的设计、制</w:t>
            </w:r>
            <w:r>
              <w:rPr>
                <w:rFonts w:hint="eastAsia" w:ascii="宋体" w:hAnsi="宋体" w:eastAsia="宋体" w:cs="宋体"/>
                <w:color w:val="auto"/>
                <w:sz w:val="21"/>
                <w:szCs w:val="21"/>
                <w:highlight w:val="none"/>
                <w:lang w:val="en-US" w:eastAsia="zh-CN"/>
              </w:rPr>
              <w:t>做</w:t>
            </w:r>
            <w:r>
              <w:rPr>
                <w:rFonts w:hint="eastAsia" w:ascii="宋体" w:hAnsi="宋体" w:eastAsia="宋体" w:cs="宋体"/>
                <w:color w:val="auto"/>
                <w:sz w:val="21"/>
                <w:szCs w:val="21"/>
                <w:highlight w:val="none"/>
              </w:rPr>
              <w:t>，服装服饰、服装辅料、标牌、标识、针纺织品、羊绒制品、雨衣、雨具、皮衣、服装鞋帽、窗帘、床上用品、办公用品、电子产品、一般劳保用品的销售（依法须经批准的项目，经相关部门批准后方可开展经营活动）</w:t>
            </w:r>
            <w:r>
              <w:rPr>
                <w:rFonts w:hint="eastAsia" w:ascii="宋体" w:hAnsi="宋体" w:eastAsia="宋体" w:cs="宋体"/>
                <w:color w:val="auto"/>
                <w:sz w:val="21"/>
                <w:szCs w:val="21"/>
                <w:highlight w:val="none"/>
                <w:lang w:eastAsia="zh-CN"/>
              </w:rPr>
              <w:t>。</w:t>
            </w:r>
          </w:p>
          <w:p>
            <w:pPr>
              <w:pStyle w:val="3"/>
              <w:keepNext w:val="0"/>
              <w:keepLines w:val="0"/>
              <w:pageBreakBefore w:val="0"/>
              <w:widowControl w:val="0"/>
              <w:kinsoku/>
              <w:wordWrap/>
              <w:overflowPunct/>
              <w:topLinePunct w:val="0"/>
              <w:autoSpaceDE/>
              <w:autoSpaceDN/>
              <w:bidi w:val="0"/>
              <w:spacing w:beforeLines="0" w:afterLines="0"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rPr>
              <w:t>自建厂以来，经过不断发展壮大，现产品已远销内蒙、山西、北京、河南、武汉、云南等城市。公司的诚信、实力，产品的质量和优质的售后服务，赢得了各地客户的一致好评。</w:t>
            </w:r>
          </w:p>
          <w:p>
            <w:pPr>
              <w:keepNext w:val="0"/>
              <w:keepLines w:val="0"/>
              <w:pageBreakBefore w:val="0"/>
              <w:widowControl w:val="0"/>
              <w:kinsoku/>
              <w:wordWrap/>
              <w:overflowPunct/>
              <w:topLinePunct w:val="0"/>
              <w:autoSpaceDE/>
              <w:autoSpaceDN/>
              <w:bidi w:val="0"/>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公司现有</w:t>
            </w:r>
            <w:r>
              <w:rPr>
                <w:rFonts w:hint="eastAsia" w:ascii="宋体" w:hAnsi="宋体" w:eastAsia="宋体" w:cs="宋体"/>
                <w:color w:val="auto"/>
                <w:sz w:val="21"/>
                <w:szCs w:val="21"/>
                <w:highlight w:val="none"/>
                <w:lang w:val="en-US" w:eastAsia="zh-CN"/>
              </w:rPr>
              <w:t>员工20</w:t>
            </w:r>
            <w:r>
              <w:rPr>
                <w:rFonts w:hint="eastAsia" w:ascii="宋体" w:hAnsi="宋体" w:eastAsia="宋体" w:cs="宋体"/>
                <w:color w:val="auto"/>
                <w:sz w:val="21"/>
                <w:szCs w:val="21"/>
                <w:highlight w:val="none"/>
              </w:rPr>
              <w:t>多人，年生产能力</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万件（套）</w:t>
            </w:r>
            <w:r>
              <w:rPr>
                <w:rFonts w:hint="eastAsia" w:ascii="宋体" w:hAnsi="宋体" w:eastAsia="宋体" w:cs="宋体"/>
                <w:color w:val="auto"/>
                <w:sz w:val="21"/>
                <w:szCs w:val="21"/>
                <w:highlight w:val="none"/>
                <w:lang w:val="en-US" w:eastAsia="zh-CN"/>
              </w:rPr>
              <w:t>左右</w:t>
            </w:r>
            <w:r>
              <w:rPr>
                <w:rFonts w:hint="eastAsia" w:ascii="宋体" w:hAnsi="宋体" w:eastAsia="宋体" w:cs="宋体"/>
                <w:color w:val="auto"/>
                <w:sz w:val="21"/>
                <w:szCs w:val="21"/>
                <w:highlight w:val="none"/>
              </w:rPr>
              <w:t>，公司以专业的队伍、严谨的管理、超卓的设备，着力打造西服、制服、职业装等衣服。</w:t>
            </w:r>
          </w:p>
          <w:p>
            <w:pPr>
              <w:keepNext w:val="0"/>
              <w:keepLines w:val="0"/>
              <w:pageBreakBefore w:val="0"/>
              <w:widowControl w:val="0"/>
              <w:kinsoku/>
              <w:wordWrap/>
              <w:overflowPunct/>
              <w:topLinePunct w:val="0"/>
              <w:autoSpaceDE/>
              <w:autoSpaceDN/>
              <w:bidi w:val="0"/>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于2008年加入石家庄市工商业联合会，2012年公司被评为重质量讲诚信重点展示单位。2013年荣获河北省诚信经营示范单位称号等。在打造服饰文化的同时，河北强威服装有限公司坚持用企业文化提升企业核心竞争，使企业在发展中树立起良好的社会形象。“行远必自迩、追求无止境”。河北强威服装有限公司将一如既往的奋进不息，为建设美丽的实业奉献光荣，为制造中国服装的产业丰碑而永远向前。</w:t>
            </w:r>
          </w:p>
          <w:p>
            <w:pPr>
              <w:keepNext w:val="0"/>
              <w:keepLines w:val="0"/>
              <w:pageBreakBefore w:val="0"/>
              <w:widowControl w:val="0"/>
              <w:kinsoku/>
              <w:wordWrap/>
              <w:overflowPunct/>
              <w:topLinePunct w:val="0"/>
              <w:autoSpaceDE/>
              <w:autoSpaceDN/>
              <w:bidi w:val="0"/>
              <w:spacing w:before="156"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内部因素和外部因素</w:t>
            </w:r>
          </w:p>
          <w:p>
            <w:pPr>
              <w:keepNext w:val="0"/>
              <w:keepLines w:val="0"/>
              <w:pageBreakBefore w:val="0"/>
              <w:widowControl w:val="0"/>
              <w:kinsoku/>
              <w:wordWrap/>
              <w:overflowPunct/>
              <w:topLinePunct w:val="0"/>
              <w:autoSpaceDE/>
              <w:autoSpaceDN/>
              <w:bidi w:val="0"/>
              <w:spacing w:before="156" w:before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内部环境因素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公司</w:t>
            </w:r>
            <w:r>
              <w:rPr>
                <w:rFonts w:hint="eastAsia" w:ascii="宋体" w:hAnsi="宋体" w:eastAsia="宋体" w:cs="宋体"/>
                <w:color w:val="auto"/>
                <w:sz w:val="21"/>
                <w:szCs w:val="21"/>
                <w:highlight w:val="none"/>
                <w:lang w:val="en-US" w:eastAsia="zh-CN"/>
              </w:rPr>
              <w:t>主要</w:t>
            </w:r>
            <w:r>
              <w:rPr>
                <w:rFonts w:hint="eastAsia" w:ascii="宋体" w:hAnsi="宋体" w:eastAsia="宋体" w:cs="宋体"/>
                <w:color w:val="auto"/>
                <w:sz w:val="21"/>
                <w:szCs w:val="21"/>
                <w:highlight w:val="none"/>
              </w:rPr>
              <w:t>考虑内部管理、价值观、企业文化、企业的知识和管理绩效等相关因素。</w:t>
            </w:r>
          </w:p>
          <w:p>
            <w:pPr>
              <w:keepNext w:val="0"/>
              <w:keepLines w:val="0"/>
              <w:pageBreakBefore w:val="0"/>
              <w:widowControl w:val="0"/>
              <w:kinsoku/>
              <w:wordWrap/>
              <w:overflowPunct/>
              <w:topLinePunct w:val="0"/>
              <w:autoSpaceDE/>
              <w:autoSpaceDN/>
              <w:bidi w:val="0"/>
              <w:spacing w:before="156" w:before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外部环境因素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公司主</w:t>
            </w:r>
            <w:r>
              <w:rPr>
                <w:rFonts w:hint="eastAsia" w:ascii="宋体" w:hAnsi="宋体" w:eastAsia="宋体" w:cs="宋体"/>
                <w:color w:val="auto"/>
                <w:sz w:val="21"/>
                <w:szCs w:val="21"/>
                <w:highlight w:val="none"/>
              </w:rPr>
              <w:t>要考虑国际、国内、本地的各种法律法规、技术、行业竞争、市场环境、外部文化、社会因素和经济因素等相关因素。</w:t>
            </w:r>
          </w:p>
          <w:p>
            <w:pPr>
              <w:keepNext w:val="0"/>
              <w:keepLines w:val="0"/>
              <w:pageBreakBefore w:val="0"/>
              <w:widowControl w:val="0"/>
              <w:kinsoku/>
              <w:wordWrap/>
              <w:overflowPunct/>
              <w:topLinePunct w:val="0"/>
              <w:autoSpaceDE/>
              <w:autoSpaceDN/>
              <w:bidi w:val="0"/>
              <w:spacing w:before="156" w:before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对这些内外部因素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公司</w:t>
            </w:r>
            <w:r>
              <w:rPr>
                <w:rFonts w:hint="eastAsia" w:ascii="宋体" w:hAnsi="宋体" w:eastAsia="宋体" w:cs="宋体"/>
                <w:color w:val="auto"/>
                <w:sz w:val="21"/>
                <w:szCs w:val="21"/>
                <w:highlight w:val="none"/>
              </w:rPr>
              <w:t>通过定期的网站获取、顾客沟通（总结、会议、培训等形式）及内部沟通总结等方式进行监视和评审。</w:t>
            </w:r>
          </w:p>
          <w:p>
            <w:pPr>
              <w:keepNext w:val="0"/>
              <w:keepLines w:val="0"/>
              <w:pageBreakBefore w:val="0"/>
              <w:widowControl w:val="0"/>
              <w:kinsoku/>
              <w:wordWrap/>
              <w:overflowPunct/>
              <w:topLinePunct w:val="0"/>
              <w:autoSpaceDE/>
              <w:autoSpaceDN/>
              <w:bidi w:val="0"/>
              <w:spacing w:before="156" w:beforeLines="50" w:line="360" w:lineRule="auto"/>
              <w:ind w:firstLine="420" w:firstLineChars="200"/>
              <w:textAlignment w:val="auto"/>
              <w:rPr>
                <w:color w:val="auto"/>
                <w:sz w:val="21"/>
                <w:szCs w:val="21"/>
              </w:rPr>
            </w:pPr>
            <w:r>
              <w:rPr>
                <w:rFonts w:hint="eastAsia" w:ascii="宋体" w:hAnsi="宋体" w:eastAsia="宋体" w:cs="宋体"/>
                <w:color w:val="auto"/>
                <w:sz w:val="21"/>
                <w:szCs w:val="21"/>
                <w:highlight w:val="none"/>
              </w:rPr>
              <w:t>公司依据GB/T 19001-2016、GB/T 24001-2016和GB/T45001-2020标准要求，结合本公司特点和战略规划，制定公司的组织结构。</w:t>
            </w:r>
          </w:p>
        </w:tc>
        <w:tc>
          <w:tcPr>
            <w:tcW w:w="36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22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ascii="宋体" w:hAnsi="宋体" w:eastAsia="宋体" w:cs="宋体"/>
                <w:color w:val="auto"/>
                <w:sz w:val="21"/>
                <w:szCs w:val="21"/>
                <w:highlight w:val="none"/>
              </w:rPr>
              <w:t>确定管理体系的范围</w:t>
            </w:r>
          </w:p>
        </w:tc>
        <w:tc>
          <w:tcPr>
            <w:tcW w:w="75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1"/>
                <w:szCs w:val="21"/>
              </w:rPr>
            </w:pPr>
            <w:r>
              <w:rPr>
                <w:rFonts w:hint="eastAsia" w:ascii="宋体" w:hAnsi="宋体" w:cs="宋体"/>
                <w:b w:val="0"/>
                <w:bCs/>
                <w:color w:val="auto"/>
                <w:sz w:val="21"/>
                <w:szCs w:val="21"/>
                <w:lang w:val="en-US" w:eastAsia="zh-CN"/>
              </w:rPr>
              <w:t>E</w:t>
            </w:r>
            <w:r>
              <w:rPr>
                <w:rFonts w:hint="eastAsia" w:ascii="宋体" w:hAnsi="宋体" w:eastAsia="宋体" w:cs="宋体"/>
                <w:b w:val="0"/>
                <w:bCs/>
                <w:color w:val="auto"/>
                <w:sz w:val="21"/>
                <w:szCs w:val="21"/>
                <w:lang w:val="en-US" w:eastAsia="zh-CN"/>
              </w:rPr>
              <w:t>4.3</w:t>
            </w:r>
          </w:p>
        </w:tc>
        <w:tc>
          <w:tcPr>
            <w:tcW w:w="12250" w:type="dxa"/>
          </w:tcPr>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公司认证的范围：</w:t>
            </w:r>
          </w:p>
          <w:p>
            <w:pPr>
              <w:pStyle w:val="2"/>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1"/>
                <w:szCs w:val="21"/>
                <w:highlight w:val="none"/>
                <w:lang w:eastAsia="zh-CN"/>
              </w:rPr>
            </w:pPr>
            <w:bookmarkStart w:id="0" w:name="审核范围"/>
            <w:r>
              <w:rPr>
                <w:rFonts w:hint="eastAsia" w:ascii="宋体" w:hAnsi="宋体" w:eastAsia="宋体" w:cs="宋体"/>
                <w:color w:val="auto"/>
                <w:sz w:val="21"/>
                <w:szCs w:val="21"/>
                <w:highlight w:val="none"/>
                <w:lang w:val="en-US" w:eastAsia="zh-CN"/>
              </w:rPr>
              <w:t>E</w:t>
            </w:r>
            <w:r>
              <w:rPr>
                <w:rFonts w:hint="eastAsia" w:ascii="宋体" w:hAnsi="宋体" w:eastAsia="宋体" w:cs="宋体"/>
                <w:color w:val="auto"/>
                <w:sz w:val="21"/>
                <w:szCs w:val="21"/>
                <w:highlight w:val="none"/>
              </w:rPr>
              <w:t>：标志服、西服的设计和制作所涉及场所的相关</w:t>
            </w:r>
            <w:r>
              <w:rPr>
                <w:rFonts w:hint="eastAsia" w:ascii="宋体" w:hAnsi="宋体" w:eastAsia="宋体" w:cs="宋体"/>
                <w:color w:val="auto"/>
                <w:sz w:val="21"/>
                <w:szCs w:val="21"/>
                <w:highlight w:val="none"/>
                <w:lang w:val="en-US" w:eastAsia="zh-CN"/>
              </w:rPr>
              <w:t>环境</w:t>
            </w:r>
            <w:r>
              <w:rPr>
                <w:rFonts w:hint="eastAsia" w:ascii="宋体" w:hAnsi="宋体" w:eastAsia="宋体" w:cs="宋体"/>
                <w:color w:val="auto"/>
                <w:sz w:val="21"/>
                <w:szCs w:val="21"/>
                <w:highlight w:val="none"/>
              </w:rPr>
              <w:t>管理活动</w:t>
            </w:r>
            <w:bookmarkEnd w:id="0"/>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ascii="宋体" w:hAnsi="宋体" w:eastAsia="宋体" w:cs="宋体"/>
                <w:b w:val="0"/>
                <w:bCs w:val="0"/>
                <w:color w:val="auto"/>
                <w:sz w:val="21"/>
                <w:szCs w:val="21"/>
                <w:highlight w:val="none"/>
              </w:rPr>
              <w:t>生产场所：</w:t>
            </w:r>
            <w:r>
              <w:rPr>
                <w:rFonts w:hint="eastAsia" w:ascii="宋体" w:hAnsi="宋体" w:eastAsia="宋体" w:cs="宋体"/>
                <w:color w:val="auto"/>
                <w:kern w:val="2"/>
                <w:sz w:val="21"/>
                <w:szCs w:val="21"/>
                <w:highlight w:val="none"/>
              </w:rPr>
              <w:t>河北省石家庄市新华区北二环西路216号</w:t>
            </w:r>
            <w:r>
              <w:rPr>
                <w:rFonts w:hint="eastAsia" w:ascii="宋体" w:hAnsi="宋体" w:eastAsia="宋体" w:cs="宋体"/>
                <w:color w:val="auto"/>
                <w:kern w:val="2"/>
                <w:sz w:val="21"/>
                <w:szCs w:val="21"/>
                <w:highlight w:val="none"/>
                <w:lang w:eastAsia="zh-CN"/>
              </w:rPr>
              <w:t>。</w:t>
            </w:r>
          </w:p>
        </w:tc>
        <w:tc>
          <w:tcPr>
            <w:tcW w:w="36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22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ascii="宋体" w:hAnsi="宋体" w:eastAsia="宋体" w:cs="宋体"/>
                <w:color w:val="auto"/>
                <w:sz w:val="21"/>
                <w:szCs w:val="21"/>
                <w:highlight w:val="none"/>
              </w:rPr>
              <w:t>管理体系</w:t>
            </w:r>
          </w:p>
        </w:tc>
        <w:tc>
          <w:tcPr>
            <w:tcW w:w="75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1"/>
                <w:szCs w:val="21"/>
              </w:rPr>
            </w:pPr>
            <w:r>
              <w:rPr>
                <w:rFonts w:hint="eastAsia" w:ascii="宋体" w:hAnsi="宋体" w:cs="宋体"/>
                <w:b w:val="0"/>
                <w:bCs/>
                <w:color w:val="auto"/>
                <w:sz w:val="21"/>
                <w:szCs w:val="21"/>
                <w:lang w:val="en-US" w:eastAsia="zh-CN"/>
              </w:rPr>
              <w:t>E</w:t>
            </w:r>
            <w:r>
              <w:rPr>
                <w:rFonts w:hint="eastAsia" w:ascii="宋体" w:hAnsi="宋体" w:eastAsia="宋体" w:cs="宋体"/>
                <w:b w:val="0"/>
                <w:bCs/>
                <w:color w:val="auto"/>
                <w:sz w:val="21"/>
                <w:szCs w:val="21"/>
                <w:lang w:val="en-US" w:eastAsia="zh-CN"/>
              </w:rPr>
              <w:t>4.4</w:t>
            </w:r>
          </w:p>
        </w:tc>
        <w:tc>
          <w:tcPr>
            <w:tcW w:w="12250" w:type="dxa"/>
          </w:tcPr>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本公司按照 GB/T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9001:201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《质量管理体系要求》、 GB/T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4001:201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《环境管理体系要求及使用指南》和GB/T45001-2020《职业健康安全管理体系</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eastAsia="zh-CN"/>
              </w:rPr>
              <w:t>要求及使用指南》标准的要求，</w:t>
            </w:r>
            <w:r>
              <w:rPr>
                <w:rFonts w:hint="eastAsia" w:ascii="宋体" w:hAnsi="宋体" w:eastAsia="宋体" w:cs="宋体"/>
                <w:color w:val="auto"/>
                <w:sz w:val="21"/>
                <w:szCs w:val="21"/>
                <w:highlight w:val="none"/>
                <w:lang w:val="en-US" w:eastAsia="zh-CN"/>
              </w:rPr>
              <w:t>建立了一体化</w:t>
            </w:r>
            <w:r>
              <w:rPr>
                <w:rFonts w:hint="eastAsia" w:ascii="宋体" w:hAnsi="宋体" w:eastAsia="宋体" w:cs="宋体"/>
                <w:color w:val="auto"/>
                <w:sz w:val="21"/>
                <w:szCs w:val="21"/>
                <w:highlight w:val="none"/>
                <w:lang w:val="zh-CN" w:eastAsia="zh-CN"/>
              </w:rPr>
              <w:t>管理体系,</w:t>
            </w:r>
            <w:r>
              <w:rPr>
                <w:rFonts w:hint="eastAsia" w:ascii="宋体" w:hAnsi="宋体" w:eastAsia="宋体" w:cs="宋体"/>
                <w:color w:val="auto"/>
                <w:sz w:val="21"/>
                <w:szCs w:val="21"/>
                <w:highlight w:val="none"/>
                <w:lang w:val="en-US" w:eastAsia="zh-CN"/>
              </w:rPr>
              <w:t>识别了过程及其相互作用，并形成文件，本公司全体员工将有效地贯彻执行并持续改进其有效性。</w:t>
            </w:r>
          </w:p>
          <w:p>
            <w:pPr>
              <w:pStyle w:val="2"/>
              <w:keepNext w:val="0"/>
              <w:keepLines w:val="0"/>
              <w:pageBreakBefore w:val="0"/>
              <w:widowControl w:val="0"/>
              <w:kinsoku/>
              <w:wordWrap/>
              <w:overflowPunct/>
              <w:topLinePunct w:val="0"/>
              <w:autoSpaceDE/>
              <w:autoSpaceDN/>
              <w:bidi w:val="0"/>
              <w:spacing w:line="360" w:lineRule="auto"/>
              <w:ind w:firstLine="46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管理体系及其过程</w:t>
            </w:r>
            <w:r>
              <w:rPr>
                <w:rFonts w:hint="eastAsia" w:ascii="宋体" w:hAnsi="宋体" w:eastAsia="宋体" w:cs="宋体"/>
                <w:color w:val="auto"/>
                <w:sz w:val="21"/>
                <w:szCs w:val="21"/>
                <w:highlight w:val="none"/>
                <w:lang w:val="en-US" w:eastAsia="zh-CN"/>
              </w:rPr>
              <w:t>为：</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公司于2020年下半年对质量/环境/职业健康安全管理体系进行策划，识别了各个过程、环境因素、危险源等，编制了管理手册、程序文件、支持性文件及记录，于</w:t>
            </w:r>
            <w:r>
              <w:rPr>
                <w:rFonts w:hint="eastAsia" w:ascii="宋体" w:hAnsi="宋体" w:eastAsia="宋体" w:cs="宋体"/>
                <w:color w:val="auto"/>
                <w:sz w:val="21"/>
                <w:szCs w:val="21"/>
                <w:highlight w:val="none"/>
                <w:lang w:val="zh-CN" w:eastAsia="zh-CN"/>
              </w:rPr>
              <w:t>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val="zh-CN" w:eastAsia="zh-CN"/>
              </w:rPr>
              <w:t>年1月</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日发布</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lang w:val="zh-CN" w:eastAsia="zh-CN"/>
              </w:rPr>
              <w:t>实施。</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ascii="宋体" w:hAnsi="宋体" w:eastAsia="宋体" w:cs="宋体"/>
                <w:color w:val="auto"/>
                <w:sz w:val="21"/>
                <w:szCs w:val="21"/>
                <w:highlight w:val="none"/>
                <w:lang w:val="en-US" w:eastAsia="zh-CN"/>
              </w:rPr>
              <w:t>经过近半年多的运行，管理体系运行正常。</w:t>
            </w:r>
          </w:p>
        </w:tc>
        <w:tc>
          <w:tcPr>
            <w:tcW w:w="36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22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ascii="宋体" w:hAnsi="宋体" w:eastAsia="宋体" w:cs="宋体"/>
                <w:color w:val="auto"/>
                <w:sz w:val="21"/>
                <w:szCs w:val="21"/>
                <w:highlight w:val="none"/>
                <w:lang w:val="en-US" w:eastAsia="zh-CN"/>
              </w:rPr>
              <w:t>管理</w:t>
            </w:r>
            <w:r>
              <w:rPr>
                <w:rFonts w:hint="eastAsia" w:ascii="宋体" w:hAnsi="宋体" w:eastAsia="宋体" w:cs="宋体"/>
                <w:color w:val="auto"/>
                <w:sz w:val="21"/>
                <w:szCs w:val="21"/>
                <w:highlight w:val="none"/>
              </w:rPr>
              <w:t>方针</w:t>
            </w:r>
          </w:p>
        </w:tc>
        <w:tc>
          <w:tcPr>
            <w:tcW w:w="75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auto"/>
                <w:sz w:val="21"/>
                <w:szCs w:val="21"/>
                <w:lang w:val="en-US" w:eastAsia="zh-CN"/>
              </w:rPr>
            </w:pPr>
            <w:r>
              <w:rPr>
                <w:rFonts w:hint="eastAsia" w:ascii="宋体" w:hAnsi="宋体" w:cs="宋体"/>
                <w:b w:val="0"/>
                <w:bCs/>
                <w:color w:val="auto"/>
                <w:sz w:val="21"/>
                <w:szCs w:val="21"/>
                <w:lang w:val="en-US" w:eastAsia="zh-CN"/>
              </w:rPr>
              <w:t>E</w:t>
            </w:r>
            <w:r>
              <w:rPr>
                <w:rFonts w:hint="eastAsia" w:ascii="宋体" w:hAnsi="宋体" w:eastAsia="宋体" w:cs="宋体"/>
                <w:b w:val="0"/>
                <w:bCs/>
                <w:color w:val="auto"/>
                <w:sz w:val="21"/>
                <w:szCs w:val="21"/>
                <w:lang w:val="en-US" w:eastAsia="zh-CN"/>
              </w:rPr>
              <w:t>5.2</w:t>
            </w:r>
          </w:p>
        </w:tc>
        <w:tc>
          <w:tcPr>
            <w:tcW w:w="12250" w:type="dxa"/>
          </w:tcPr>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公司的管理方针：质量为本 安全生产 遵规守法 污染预防 节能降耗 持续改进。</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方针体现以下几个方面：</w:t>
            </w:r>
          </w:p>
          <w:p>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a)与公司的宗旨相适应：以人为本，与顾客同发展，为社会创造价值；</w:t>
            </w:r>
          </w:p>
          <w:p>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b)包括了对保证产品质量、控制污染预防、保护员工健康和持续改进管理体系有效性的承诺；</w:t>
            </w:r>
          </w:p>
          <w:p>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c)提供了制定和评审质量/环境/职业健康安全目标的框架。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FF"/>
                <w:sz w:val="21"/>
                <w:szCs w:val="21"/>
                <w:lang w:val="en-US" w:eastAsia="zh-CN"/>
              </w:rPr>
            </w:pPr>
            <w:r>
              <w:rPr>
                <w:rFonts w:hint="eastAsia" w:ascii="宋体" w:hAnsi="宋体" w:eastAsia="宋体" w:cs="宋体"/>
                <w:color w:val="auto"/>
                <w:sz w:val="21"/>
                <w:szCs w:val="21"/>
                <w:highlight w:val="none"/>
                <w:lang w:val="zh-CN" w:eastAsia="zh-CN"/>
              </w:rPr>
              <w:t>公司的方针已经形成文件并获得保持。总经理作为公司的最高管理者</w:t>
            </w:r>
            <w:r>
              <w:rPr>
                <w:rFonts w:hint="eastAsia" w:ascii="宋体" w:hAnsi="宋体" w:eastAsia="宋体" w:cs="宋体"/>
                <w:color w:val="auto"/>
                <w:sz w:val="21"/>
                <w:szCs w:val="21"/>
                <w:highlight w:val="none"/>
                <w:lang w:val="en-US" w:eastAsia="zh-CN"/>
              </w:rPr>
              <w:t>进行制定和批准</w:t>
            </w:r>
            <w:r>
              <w:rPr>
                <w:rFonts w:hint="eastAsia" w:ascii="宋体" w:hAnsi="宋体" w:eastAsia="宋体" w:cs="宋体"/>
                <w:color w:val="auto"/>
                <w:sz w:val="21"/>
                <w:szCs w:val="21"/>
                <w:highlight w:val="none"/>
                <w:lang w:val="zh-CN" w:eastAsia="zh-CN"/>
              </w:rPr>
              <w:t>，通过培训、教育或会议等方式在公司内部沟通、推广质量/环境/职业健康安全方针，使公司各级人员理解质量/环境/职业健康安全方针并应用。适宜时，可作为宣传向有关相关方提供。</w:t>
            </w:r>
          </w:p>
        </w:tc>
        <w:tc>
          <w:tcPr>
            <w:tcW w:w="36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22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1"/>
                <w:szCs w:val="21"/>
              </w:rPr>
            </w:pPr>
            <w:r>
              <w:rPr>
                <w:rFonts w:hint="eastAsia" w:ascii="宋体" w:hAnsi="宋体" w:eastAsia="宋体" w:cs="宋体"/>
                <w:color w:val="auto"/>
                <w:sz w:val="21"/>
                <w:szCs w:val="21"/>
                <w:highlight w:val="none"/>
                <w:lang w:val="en-US" w:eastAsia="zh-CN"/>
              </w:rPr>
              <w:t>资源</w:t>
            </w:r>
            <w:r>
              <w:rPr>
                <w:rFonts w:hint="eastAsia" w:ascii="宋体" w:hAnsi="宋体" w:cs="宋体"/>
                <w:b w:val="0"/>
                <w:bCs/>
                <w:color w:val="auto"/>
                <w:sz w:val="21"/>
                <w:szCs w:val="21"/>
                <w:lang w:val="en-US" w:eastAsia="zh-CN"/>
              </w:rPr>
              <w:t>/</w:t>
            </w:r>
            <w:r>
              <w:rPr>
                <w:rFonts w:hint="eastAsia" w:ascii="宋体" w:hAnsi="宋体" w:eastAsia="宋体" w:cs="宋体"/>
                <w:b w:val="0"/>
                <w:bCs/>
                <w:color w:val="auto"/>
                <w:sz w:val="21"/>
                <w:szCs w:val="21"/>
              </w:rPr>
              <w:t>体系覆盖人数确认</w:t>
            </w:r>
          </w:p>
        </w:tc>
        <w:tc>
          <w:tcPr>
            <w:tcW w:w="75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auto"/>
                <w:sz w:val="21"/>
                <w:szCs w:val="21"/>
                <w:lang w:val="en-US" w:eastAsia="zh-CN"/>
              </w:rPr>
            </w:pPr>
            <w:r>
              <w:rPr>
                <w:rFonts w:hint="eastAsia" w:ascii="宋体" w:hAnsi="宋体" w:cs="宋体"/>
                <w:b w:val="0"/>
                <w:bCs/>
                <w:color w:val="auto"/>
                <w:sz w:val="21"/>
                <w:szCs w:val="21"/>
                <w:lang w:val="en-US" w:eastAsia="zh-CN"/>
              </w:rPr>
              <w:t>E</w:t>
            </w:r>
            <w:r>
              <w:rPr>
                <w:rFonts w:hint="eastAsia" w:ascii="宋体" w:hAnsi="宋体" w:eastAsia="宋体" w:cs="宋体"/>
                <w:b w:val="0"/>
                <w:bCs/>
                <w:color w:val="auto"/>
                <w:sz w:val="21"/>
                <w:szCs w:val="21"/>
                <w:lang w:val="en-US" w:eastAsia="zh-CN"/>
              </w:rPr>
              <w:t>7.1</w:t>
            </w:r>
          </w:p>
        </w:tc>
        <w:tc>
          <w:tcPr>
            <w:tcW w:w="12250" w:type="dxa"/>
          </w:tcPr>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公司位于</w:t>
            </w:r>
            <w:r>
              <w:rPr>
                <w:rFonts w:hint="eastAsia" w:ascii="宋体" w:hAnsi="宋体" w:eastAsia="宋体" w:cs="宋体"/>
                <w:color w:val="auto"/>
                <w:kern w:val="2"/>
                <w:sz w:val="21"/>
                <w:szCs w:val="21"/>
                <w:highlight w:val="none"/>
              </w:rPr>
              <w:t>河北省石家庄市新华区北二环西路216号</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从2008年经营至今，有稳定的供应商及客户群。</w:t>
            </w:r>
          </w:p>
          <w:p>
            <w:pPr>
              <w:pStyle w:val="2"/>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公司具有相对稳定的员工队伍，尤其是主要骨干力量。</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公司租赁的办公场所总面积800平方米，配置了先进的生产设备，如：</w:t>
            </w:r>
            <w:r>
              <w:rPr>
                <w:rFonts w:hint="eastAsia" w:ascii="宋体" w:hAnsi="宋体" w:eastAsia="宋体" w:cs="宋体"/>
                <w:color w:val="auto"/>
                <w:spacing w:val="-10"/>
                <w:sz w:val="21"/>
                <w:szCs w:val="21"/>
                <w:highlight w:val="none"/>
                <w:lang w:val="en-US" w:eastAsia="zh-CN"/>
              </w:rPr>
              <w:t>打板机、拉布机、压衬机、电动缝纫机、锁边机、扦边机、切刀机、双针机、包兜机、熨烫机、锁眼机、钉扣机、打结机、电带机、监控仪等等</w:t>
            </w:r>
            <w:r>
              <w:rPr>
                <w:rFonts w:hint="eastAsia" w:ascii="宋体" w:hAnsi="宋体" w:eastAsia="宋体" w:cs="宋体"/>
                <w:color w:val="auto"/>
                <w:sz w:val="21"/>
                <w:szCs w:val="21"/>
                <w:highlight w:val="none"/>
                <w:lang w:val="en-US" w:eastAsia="zh-CN"/>
              </w:rPr>
              <w:t>。</w:t>
            </w:r>
          </w:p>
          <w:p>
            <w:pPr>
              <w:pStyle w:val="2"/>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上述设备设施能满足生产经营需要。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 xml:space="preserve">    </w:t>
            </w:r>
            <w:r>
              <w:rPr>
                <w:rFonts w:hint="eastAsia" w:ascii="宋体" w:hAnsi="宋体" w:eastAsia="宋体" w:cs="宋体"/>
                <w:b w:val="0"/>
                <w:bCs/>
                <w:color w:val="auto"/>
                <w:sz w:val="21"/>
                <w:szCs w:val="21"/>
              </w:rPr>
              <w:t>体系覆盖人数</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23。</w:t>
            </w:r>
          </w:p>
        </w:tc>
        <w:tc>
          <w:tcPr>
            <w:tcW w:w="36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22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color w:val="auto"/>
                <w:sz w:val="21"/>
                <w:szCs w:val="21"/>
                <w:highlight w:val="none"/>
                <w:lang w:val="en-US" w:eastAsia="zh-CN"/>
              </w:rPr>
              <w:t>监视、测量、分析和评价</w:t>
            </w:r>
          </w:p>
        </w:tc>
        <w:tc>
          <w:tcPr>
            <w:tcW w:w="75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auto"/>
                <w:sz w:val="21"/>
                <w:szCs w:val="21"/>
                <w:lang w:val="en-US" w:eastAsia="zh-CN"/>
              </w:rPr>
            </w:pPr>
            <w:r>
              <w:rPr>
                <w:rFonts w:hint="eastAsia" w:ascii="宋体" w:hAnsi="宋体" w:cs="宋体"/>
                <w:b w:val="0"/>
                <w:bCs/>
                <w:color w:val="auto"/>
                <w:sz w:val="21"/>
                <w:szCs w:val="21"/>
                <w:lang w:val="en-US" w:eastAsia="zh-CN"/>
              </w:rPr>
              <w:t>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9.1.1</w:t>
            </w:r>
          </w:p>
        </w:tc>
        <w:tc>
          <w:tcPr>
            <w:tcW w:w="12250" w:type="dxa"/>
          </w:tcPr>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公司考虑已确定的风险和机遇，确定监视和测量的对象和内容，以便：</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——证实服务的符合性；</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——评价过程质量绩效、环境绩效和职业健康安全管理绩效；</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——确保质量/环境/职业健康安全管理体系的符合性和有效性；</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bookmarkStart w:id="1" w:name="OLE_LINK40"/>
            <w:r>
              <w:rPr>
                <w:rFonts w:hint="eastAsia" w:ascii="宋体" w:hAnsi="宋体" w:eastAsia="宋体" w:cs="宋体"/>
                <w:color w:val="auto"/>
                <w:sz w:val="21"/>
                <w:szCs w:val="21"/>
                <w:highlight w:val="none"/>
              </w:rPr>
              <w:t>——</w:t>
            </w:r>
            <w:bookmarkEnd w:id="1"/>
            <w:r>
              <w:rPr>
                <w:rFonts w:hint="eastAsia" w:ascii="宋体" w:hAnsi="宋体" w:eastAsia="宋体" w:cs="宋体"/>
                <w:color w:val="auto"/>
                <w:sz w:val="21"/>
                <w:szCs w:val="21"/>
                <w:highlight w:val="none"/>
              </w:rPr>
              <w:t>评价顾客满意度；</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 评价外部供方的业绩；</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rPr>
              <w:t xml:space="preserve">) 确定监视、测量（适用时)、分析和评价的方法，以确保结果可行；  </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c</w:t>
            </w:r>
            <w:r>
              <w:rPr>
                <w:rFonts w:hint="eastAsia" w:ascii="宋体" w:hAnsi="宋体" w:eastAsia="宋体" w:cs="宋体"/>
                <w:color w:val="auto"/>
                <w:sz w:val="21"/>
                <w:szCs w:val="21"/>
                <w:highlight w:val="none"/>
              </w:rPr>
              <w:t>) 组织评价其环境绩效所依据的准则和适当的参数；</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rPr>
              <w:t xml:space="preserve">) 确定监视和测量的时机，何时应实施监视和测量； </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e) 确定何时对监测和测量结果进行分析和评价； </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f) 确定所需的质量/环境/职业健康安全管理体系绩效指标。 </w:t>
            </w:r>
          </w:p>
          <w:p>
            <w:pPr>
              <w:keepNext w:val="0"/>
              <w:keepLines w:val="0"/>
              <w:pageBreakBefore w:val="0"/>
              <w:widowControl w:val="0"/>
              <w:kinsoku/>
              <w:wordWrap/>
              <w:overflowPunct/>
              <w:topLinePunct w:val="0"/>
              <w:autoSpaceDE/>
              <w:autoSpaceDN/>
              <w:bidi w:val="0"/>
              <w:spacing w:before="156" w:before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公司通过管理评审、内外部审核、目标考核及日常公司各部门对所控制过程运行情况按相关文件的规定进行监视和测量，来实现对管理体系全过程的监视和测量。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auto"/>
                <w:sz w:val="21"/>
                <w:szCs w:val="21"/>
                <w:lang w:val="en-US" w:eastAsia="zh-CN"/>
              </w:rPr>
            </w:pPr>
            <w:r>
              <w:rPr>
                <w:rFonts w:hint="eastAsia" w:ascii="宋体" w:hAnsi="宋体" w:eastAsia="宋体" w:cs="宋体"/>
                <w:color w:val="auto"/>
                <w:sz w:val="21"/>
                <w:szCs w:val="21"/>
                <w:highlight w:val="none"/>
              </w:rPr>
              <w:t>对绩效的分析和评价，对事项进行汇报的程序等。保留了必要的记录文件。</w:t>
            </w:r>
          </w:p>
        </w:tc>
        <w:tc>
          <w:tcPr>
            <w:tcW w:w="36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22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FF"/>
                <w:sz w:val="21"/>
                <w:szCs w:val="21"/>
              </w:rPr>
            </w:pPr>
            <w:r>
              <w:rPr>
                <w:rFonts w:hint="eastAsia" w:ascii="宋体" w:hAnsi="宋体" w:eastAsia="宋体" w:cs="宋体"/>
                <w:color w:val="auto"/>
                <w:sz w:val="21"/>
                <w:szCs w:val="21"/>
                <w:highlight w:val="none"/>
                <w:lang w:val="en-US" w:eastAsia="zh-CN"/>
              </w:rPr>
              <w:t>合规性评价</w:t>
            </w:r>
          </w:p>
        </w:tc>
        <w:tc>
          <w:tcPr>
            <w:tcW w:w="75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auto"/>
                <w:sz w:val="21"/>
                <w:szCs w:val="21"/>
                <w:lang w:val="en-US" w:eastAsia="zh-CN"/>
              </w:rPr>
            </w:pPr>
            <w:r>
              <w:rPr>
                <w:rFonts w:hint="eastAsia" w:ascii="宋体" w:hAnsi="宋体" w:cs="宋体"/>
                <w:b w:val="0"/>
                <w:bCs/>
                <w:color w:val="auto"/>
                <w:sz w:val="21"/>
                <w:szCs w:val="21"/>
                <w:lang w:val="en-US" w:eastAsia="zh-CN"/>
              </w:rPr>
              <w:t>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9.1.2</w:t>
            </w:r>
          </w:p>
        </w:tc>
        <w:tc>
          <w:tcPr>
            <w:tcW w:w="12250" w:type="dxa"/>
          </w:tcPr>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lang w:val="en-US" w:eastAsia="zh-CN"/>
              </w:rPr>
            </w:pPr>
            <w:r>
              <w:rPr>
                <w:rFonts w:hint="eastAsia"/>
                <w:lang w:val="en-US" w:eastAsia="zh-CN"/>
              </w:rPr>
              <w:t>公司</w:t>
            </w:r>
            <w:r>
              <w:rPr>
                <w:rFonts w:hint="eastAsia"/>
              </w:rPr>
              <w:t>编制了《法律法规及其他要求控制程序》</w:t>
            </w:r>
            <w:r>
              <w:rPr>
                <w:rFonts w:hint="eastAsia"/>
                <w:lang w:eastAsia="zh-CN"/>
              </w:rPr>
              <w:t>，</w:t>
            </w:r>
            <w:r>
              <w:rPr>
                <w:rFonts w:hint="eastAsia"/>
                <w:lang w:val="en-US" w:eastAsia="zh-CN"/>
              </w:rPr>
              <w:t>办公室为主要负责单位。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今年4月30日，由办公室组织进行了合规性评价，所有45项法律法规及其他要求都得到遵守。</w:t>
            </w:r>
          </w:p>
          <w:p>
            <w:pPr>
              <w:pStyle w:val="2"/>
              <w:ind w:firstLine="46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这一评价结果，办公室及时汇报了公司管理层。</w:t>
            </w:r>
          </w:p>
          <w:p>
            <w:pPr>
              <w:pStyle w:val="2"/>
              <w:ind w:firstLine="46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细节情况有待二阶段审核关注。</w:t>
            </w:r>
          </w:p>
        </w:tc>
        <w:tc>
          <w:tcPr>
            <w:tcW w:w="36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22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FF"/>
                <w:sz w:val="21"/>
                <w:szCs w:val="21"/>
              </w:rPr>
            </w:pPr>
            <w:r>
              <w:rPr>
                <w:rFonts w:hint="eastAsia" w:ascii="宋体" w:hAnsi="宋体" w:eastAsia="宋体" w:cs="宋体"/>
                <w:color w:val="auto"/>
                <w:sz w:val="21"/>
                <w:szCs w:val="21"/>
                <w:highlight w:val="none"/>
                <w:lang w:val="en-US" w:eastAsia="zh-CN"/>
              </w:rPr>
              <w:t>管理评审</w:t>
            </w:r>
          </w:p>
        </w:tc>
        <w:tc>
          <w:tcPr>
            <w:tcW w:w="75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E</w:t>
            </w:r>
            <w:r>
              <w:rPr>
                <w:rFonts w:hint="eastAsia" w:ascii="宋体" w:hAnsi="宋体" w:eastAsia="宋体" w:cs="宋体"/>
                <w:b w:val="0"/>
                <w:bCs/>
                <w:color w:val="auto"/>
                <w:sz w:val="21"/>
                <w:szCs w:val="21"/>
                <w:lang w:val="en-US" w:eastAsia="zh-CN"/>
              </w:rPr>
              <w:t>9.3</w:t>
            </w:r>
          </w:p>
        </w:tc>
        <w:tc>
          <w:tcPr>
            <w:tcW w:w="12250" w:type="dxa"/>
          </w:tcPr>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lang w:val="en-US" w:eastAsia="zh-CN"/>
              </w:rPr>
            </w:pPr>
            <w:r>
              <w:rPr>
                <w:rFonts w:hint="eastAsia"/>
                <w:lang w:val="en-US" w:eastAsia="zh-CN"/>
              </w:rPr>
              <w:t>提供了《管理体系管理评审计划》，明确了评审目的、时间、地点、参加评审的人员、评审的内容和各部门需准备的评审材料。</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lang w:val="en-US" w:eastAsia="zh-CN"/>
              </w:rPr>
            </w:pPr>
            <w:r>
              <w:rPr>
                <w:rFonts w:hint="eastAsia"/>
                <w:lang w:val="en-US" w:eastAsia="zh-CN"/>
              </w:rPr>
              <w:t>按照策划的要求，总经理于2021年4月15日主持了管理评审，出示各部门输入资料：各部门领导作了本部门的体系运行工作汇报。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总经理认为：公司所建立并运行的管理体系是充分的、适宜的、有效的，方针、目标也是适宜的。</w:t>
            </w:r>
          </w:p>
          <w:p>
            <w:pPr>
              <w:pStyle w:val="2"/>
              <w:ind w:firstLine="460" w:firstLineChars="200"/>
              <w:rPr>
                <w:rFonts w:hint="eastAsia"/>
                <w:lang w:val="en-US" w:eastAsia="zh-CN"/>
              </w:rPr>
            </w:pPr>
            <w:r>
              <w:rPr>
                <w:rFonts w:hint="eastAsia" w:ascii="宋体" w:hAnsi="宋体" w:eastAsia="宋体" w:cs="宋体"/>
                <w:color w:val="auto"/>
                <w:sz w:val="21"/>
                <w:szCs w:val="21"/>
                <w:highlight w:val="none"/>
                <w:lang w:val="en-US" w:eastAsia="zh-CN"/>
              </w:rPr>
              <w:t>细节情况有待二阶段审核关注。</w:t>
            </w:r>
          </w:p>
        </w:tc>
        <w:tc>
          <w:tcPr>
            <w:tcW w:w="36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bl>
    <w:p>
      <w:r>
        <w:ptab w:relativeTo="margin" w:alignment="center" w:leader="none"/>
      </w:r>
    </w:p>
    <w:p/>
    <w:p/>
    <w:tbl>
      <w:tblPr>
        <w:tblStyle w:val="7"/>
        <w:tblW w:w="146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59"/>
        <w:gridCol w:w="12250"/>
        <w:gridCol w:w="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27"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sz w:val="21"/>
                <w:szCs w:val="21"/>
              </w:rPr>
            </w:pPr>
            <w:r>
              <w:rPr>
                <w:rFonts w:hint="eastAsia"/>
                <w:sz w:val="21"/>
                <w:szCs w:val="21"/>
              </w:rPr>
              <w:t>过程与活动、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1"/>
                <w:szCs w:val="21"/>
              </w:rPr>
            </w:pPr>
            <w:r>
              <w:rPr>
                <w:rFonts w:hint="eastAsia"/>
                <w:sz w:val="21"/>
                <w:szCs w:val="21"/>
              </w:rPr>
              <w:t>抽样计划</w:t>
            </w:r>
          </w:p>
        </w:tc>
        <w:tc>
          <w:tcPr>
            <w:tcW w:w="7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涉及</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条款</w:t>
            </w:r>
          </w:p>
        </w:tc>
        <w:tc>
          <w:tcPr>
            <w:tcW w:w="1225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sz w:val="21"/>
                <w:szCs w:val="21"/>
                <w:lang w:val="en-US" w:eastAsia="zh-CN"/>
              </w:rPr>
            </w:pPr>
            <w:r>
              <w:rPr>
                <w:rFonts w:hint="eastAsia"/>
                <w:sz w:val="21"/>
                <w:szCs w:val="21"/>
              </w:rPr>
              <w:t>受审核部门：</w:t>
            </w:r>
            <w:r>
              <w:rPr>
                <w:rFonts w:hint="eastAsia"/>
                <w:sz w:val="21"/>
                <w:szCs w:val="21"/>
                <w:lang w:val="en-US" w:eastAsia="zh-CN"/>
              </w:rPr>
              <w:t xml:space="preserve">办公室            </w:t>
            </w:r>
            <w:r>
              <w:rPr>
                <w:rFonts w:hint="eastAsia"/>
                <w:sz w:val="21"/>
                <w:szCs w:val="21"/>
              </w:rPr>
              <w:t>主管领导</w:t>
            </w:r>
            <w:r>
              <w:rPr>
                <w:rFonts w:hint="eastAsia"/>
                <w:sz w:val="21"/>
                <w:szCs w:val="21"/>
                <w:lang w:eastAsia="zh-CN"/>
              </w:rPr>
              <w:t>：</w:t>
            </w:r>
            <w:r>
              <w:rPr>
                <w:rFonts w:hint="eastAsia" w:ascii="宋体" w:hAnsi="宋体" w:eastAsia="宋体" w:cs="宋体"/>
                <w:color w:val="auto"/>
                <w:sz w:val="21"/>
                <w:szCs w:val="21"/>
                <w:highlight w:val="none"/>
                <w:lang w:val="en-US" w:eastAsia="zh-CN"/>
              </w:rPr>
              <w:t>汪红彩</w:t>
            </w:r>
            <w:r>
              <w:rPr>
                <w:rFonts w:hint="eastAsia" w:ascii="宋体" w:hAnsi="宋体" w:eastAsia="宋体" w:cs="宋体"/>
                <w:color w:val="auto"/>
                <w:sz w:val="21"/>
                <w:szCs w:val="21"/>
                <w:highlight w:val="none"/>
              </w:rPr>
              <w:t xml:space="preserve"> </w:t>
            </w:r>
          </w:p>
        </w:tc>
        <w:tc>
          <w:tcPr>
            <w:tcW w:w="36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c>
          <w:tcPr>
            <w:tcW w:w="7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c>
          <w:tcPr>
            <w:tcW w:w="12250" w:type="dxa"/>
            <w:vAlign w:val="center"/>
          </w:tcPr>
          <w:p>
            <w:pPr>
              <w:keepNext w:val="0"/>
              <w:keepLines w:val="0"/>
              <w:pageBreakBefore w:val="0"/>
              <w:widowControl w:val="0"/>
              <w:kinsoku/>
              <w:wordWrap/>
              <w:overflowPunct/>
              <w:topLinePunct w:val="0"/>
              <w:autoSpaceDE/>
              <w:autoSpaceDN/>
              <w:bidi w:val="0"/>
              <w:adjustRightInd/>
              <w:snapToGrid/>
              <w:spacing w:before="120" w:line="360" w:lineRule="auto"/>
              <w:textAlignment w:val="auto"/>
              <w:rPr>
                <w:sz w:val="21"/>
                <w:szCs w:val="21"/>
              </w:rPr>
            </w:pPr>
            <w:r>
              <w:rPr>
                <w:rFonts w:hint="eastAsia"/>
                <w:sz w:val="21"/>
                <w:szCs w:val="21"/>
              </w:rPr>
              <w:t>审核员：</w:t>
            </w:r>
            <w:r>
              <w:rPr>
                <w:rFonts w:hint="eastAsia"/>
                <w:sz w:val="21"/>
                <w:szCs w:val="21"/>
                <w:lang w:val="en-US" w:eastAsia="zh-CN"/>
              </w:rPr>
              <w:t xml:space="preserve">刘玉兰     </w:t>
            </w:r>
            <w:r>
              <w:rPr>
                <w:rFonts w:hint="eastAsia"/>
                <w:sz w:val="21"/>
                <w:szCs w:val="21"/>
              </w:rPr>
              <w:t>审核时间：</w:t>
            </w:r>
            <w:r>
              <w:rPr>
                <w:rFonts w:hint="eastAsia"/>
                <w:sz w:val="21"/>
                <w:szCs w:val="21"/>
                <w:lang w:eastAsia="zh-CN"/>
              </w:rPr>
              <w:t>2021-5-2</w:t>
            </w:r>
            <w:r>
              <w:rPr>
                <w:rFonts w:hint="eastAsia"/>
                <w:sz w:val="21"/>
                <w:szCs w:val="21"/>
                <w:lang w:val="en-US" w:eastAsia="zh-CN"/>
              </w:rPr>
              <w:t>3</w:t>
            </w:r>
          </w:p>
        </w:tc>
        <w:tc>
          <w:tcPr>
            <w:tcW w:w="365"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c>
          <w:tcPr>
            <w:tcW w:w="7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c>
          <w:tcPr>
            <w:tcW w:w="1225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1"/>
                <w:szCs w:val="21"/>
                <w:lang w:eastAsia="zh-CN"/>
              </w:rPr>
            </w:pPr>
            <w:r>
              <w:rPr>
                <w:rFonts w:hint="eastAsia"/>
                <w:sz w:val="21"/>
                <w:szCs w:val="21"/>
              </w:rPr>
              <w:t>审核条款：</w:t>
            </w:r>
            <w:r>
              <w:rPr>
                <w:rFonts w:hint="eastAsia" w:ascii="宋体" w:hAnsi="宋体" w:eastAsia="宋体" w:cs="宋体"/>
                <w:b w:val="0"/>
                <w:bCs/>
                <w:color w:val="auto"/>
                <w:sz w:val="21"/>
                <w:szCs w:val="21"/>
                <w:highlight w:val="none"/>
              </w:rPr>
              <w:t>6.2</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9.2</w:t>
            </w:r>
            <w:r>
              <w:rPr>
                <w:rFonts w:hint="eastAsia" w:ascii="宋体" w:hAnsi="宋体" w:cs="宋体"/>
                <w:b w:val="0"/>
                <w:bCs/>
                <w:color w:val="auto"/>
                <w:sz w:val="21"/>
                <w:szCs w:val="21"/>
                <w:highlight w:val="none"/>
                <w:lang w:eastAsia="zh-CN"/>
              </w:rPr>
              <w:t>。</w:t>
            </w:r>
          </w:p>
        </w:tc>
        <w:tc>
          <w:tcPr>
            <w:tcW w:w="365"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2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ascii="宋体" w:hAnsi="宋体" w:eastAsia="宋体" w:cs="宋体"/>
                <w:b w:val="0"/>
                <w:bCs/>
                <w:color w:val="auto"/>
                <w:sz w:val="21"/>
                <w:szCs w:val="21"/>
                <w:highlight w:val="none"/>
              </w:rPr>
              <w:t>目标、指标和管理方案</w:t>
            </w:r>
          </w:p>
        </w:tc>
        <w:tc>
          <w:tcPr>
            <w:tcW w:w="75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1"/>
                <w:szCs w:val="21"/>
                <w:lang w:val="en-US"/>
              </w:rPr>
            </w:pPr>
            <w:r>
              <w:rPr>
                <w:rFonts w:hint="eastAsia" w:ascii="宋体" w:hAnsi="宋体" w:cs="宋体"/>
                <w:b w:val="0"/>
                <w:bCs/>
                <w:color w:val="auto"/>
                <w:sz w:val="21"/>
                <w:szCs w:val="21"/>
                <w:lang w:val="en-US" w:eastAsia="zh-CN"/>
              </w:rPr>
              <w:t>E6.2</w:t>
            </w:r>
          </w:p>
        </w:tc>
        <w:tc>
          <w:tcPr>
            <w:tcW w:w="12250" w:type="dxa"/>
          </w:tcPr>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公司管理层以方针为框架，结合公司的实际运营情况，制定公司的</w:t>
            </w:r>
            <w:r>
              <w:rPr>
                <w:rFonts w:hint="eastAsia" w:ascii="宋体" w:hAnsi="宋体" w:eastAsia="宋体" w:cs="宋体"/>
                <w:color w:val="auto"/>
                <w:sz w:val="21"/>
                <w:szCs w:val="21"/>
                <w:highlight w:val="none"/>
                <w:lang w:val="en-US" w:eastAsia="zh-CN"/>
              </w:rPr>
              <w:t>2021年度环境</w:t>
            </w:r>
            <w:r>
              <w:rPr>
                <w:rFonts w:hint="eastAsia" w:ascii="宋体" w:hAnsi="宋体" w:eastAsia="宋体" w:cs="宋体"/>
                <w:color w:val="auto"/>
                <w:sz w:val="21"/>
                <w:szCs w:val="21"/>
                <w:highlight w:val="none"/>
                <w:lang w:val="zh-CN" w:eastAsia="zh-CN"/>
              </w:rPr>
              <w:t>目标为：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火灾事</w:t>
            </w:r>
            <w:r>
              <w:rPr>
                <w:rFonts w:hint="eastAsia" w:ascii="宋体" w:hAnsi="宋体" w:eastAsia="宋体" w:cs="宋体"/>
                <w:color w:val="auto"/>
                <w:sz w:val="21"/>
                <w:szCs w:val="21"/>
                <w:highlight w:val="none"/>
                <w:lang w:val="en-US" w:eastAsia="zh-CN"/>
              </w:rPr>
              <w:t>故</w:t>
            </w:r>
            <w:r>
              <w:rPr>
                <w:rFonts w:hint="eastAsia" w:ascii="宋体" w:hAnsi="宋体" w:eastAsia="宋体" w:cs="宋体"/>
                <w:color w:val="auto"/>
                <w:sz w:val="21"/>
                <w:szCs w:val="21"/>
                <w:highlight w:val="none"/>
              </w:rPr>
              <w:t>为0；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产生的固体废物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布料的边角余料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全部集中收集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并外排到市政生活垃圾箱</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噪声达到《GB 12348-2008工业企业厂界噪声标准》3类标准</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kinsoku/>
              <w:wordWrap/>
              <w:overflowPunct/>
              <w:topLinePunct w:val="0"/>
              <w:autoSpaceDE/>
              <w:autoSpaceDN/>
              <w:bidi w:val="0"/>
              <w:spacing w:line="360" w:lineRule="auto"/>
              <w:ind w:firstLine="460" w:firstLineChars="200"/>
              <w:textAlignment w:val="auto"/>
              <w:rPr>
                <w:rFonts w:hint="eastAsia" w:ascii="宋体" w:hAnsi="宋体" w:eastAsia="宋体" w:cs="宋体"/>
                <w:lang w:eastAsia="zh-CN"/>
              </w:rPr>
            </w:pPr>
            <w:r>
              <w:rPr>
                <w:rFonts w:hint="eastAsia" w:ascii="宋体" w:hAnsi="宋体" w:eastAsia="宋体" w:cs="宋体"/>
                <w:color w:val="auto"/>
                <w:sz w:val="21"/>
                <w:szCs w:val="21"/>
                <w:highlight w:val="none"/>
                <w:lang w:val="en-US" w:eastAsia="zh-CN"/>
              </w:rPr>
              <w:t>上述目标按季度统计并进行考核，今年第一季度目标完成情况良好。</w:t>
            </w:r>
          </w:p>
          <w:p>
            <w:pPr>
              <w:pStyle w:val="2"/>
              <w:keepNext w:val="0"/>
              <w:keepLines w:val="0"/>
              <w:pageBreakBefore w:val="0"/>
              <w:widowControl w:val="0"/>
              <w:kinsoku/>
              <w:wordWrap/>
              <w:overflowPunct/>
              <w:topLinePunct w:val="0"/>
              <w:autoSpaceDE/>
              <w:autoSpaceDN/>
              <w:bidi w:val="0"/>
              <w:spacing w:line="360" w:lineRule="auto"/>
              <w:ind w:firstLine="46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办公室负责组织公司目标的分解工作，所有部门（办公室、采购部、生产技术部、销售部）均有自己部门的目标指标，生产技术部还制定了管理方案。</w:t>
            </w:r>
          </w:p>
          <w:p>
            <w:pPr>
              <w:pStyle w:val="2"/>
              <w:keepNext w:val="0"/>
              <w:keepLines w:val="0"/>
              <w:pageBreakBefore w:val="0"/>
              <w:widowControl w:val="0"/>
              <w:kinsoku/>
              <w:wordWrap/>
              <w:overflowPunct/>
              <w:topLinePunct w:val="0"/>
              <w:autoSpaceDE/>
              <w:autoSpaceDN/>
              <w:bidi w:val="0"/>
              <w:spacing w:line="360" w:lineRule="auto"/>
              <w:textAlignment w:val="auto"/>
              <w:rPr>
                <w:rFonts w:hint="default" w:eastAsia="宋体"/>
                <w:sz w:val="21"/>
                <w:szCs w:val="21"/>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sz w:val="21"/>
                <w:szCs w:val="21"/>
                <w:lang w:val="en-US" w:eastAsia="zh-CN"/>
              </w:rPr>
              <w:t>各部门目标是否适宜、管理方案的可操作性如何等</w:t>
            </w:r>
            <w:r>
              <w:rPr>
                <w:rFonts w:hint="eastAsia" w:ascii="宋体" w:hAnsi="宋体" w:eastAsia="宋体" w:cs="宋体"/>
                <w:color w:val="auto"/>
                <w:sz w:val="21"/>
                <w:szCs w:val="21"/>
                <w:highlight w:val="none"/>
                <w:lang w:val="en-US" w:eastAsia="zh-CN"/>
              </w:rPr>
              <w:t>细节，有待二阶段审核关注。</w:t>
            </w:r>
          </w:p>
        </w:tc>
        <w:tc>
          <w:tcPr>
            <w:tcW w:w="36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22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1"/>
                <w:szCs w:val="21"/>
                <w:lang w:val="en-US" w:eastAsia="zh-CN"/>
              </w:rPr>
            </w:pPr>
            <w:r>
              <w:rPr>
                <w:rFonts w:hint="eastAsia"/>
                <w:sz w:val="21"/>
                <w:szCs w:val="21"/>
                <w:lang w:val="en-US" w:eastAsia="zh-CN"/>
              </w:rPr>
              <w:t>内审</w:t>
            </w:r>
          </w:p>
        </w:tc>
        <w:tc>
          <w:tcPr>
            <w:tcW w:w="75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1"/>
                <w:szCs w:val="21"/>
                <w:lang w:val="en-US"/>
              </w:rPr>
            </w:pPr>
            <w:r>
              <w:rPr>
                <w:rFonts w:hint="eastAsia" w:ascii="宋体" w:hAnsi="宋体" w:cs="宋体"/>
                <w:b w:val="0"/>
                <w:bCs/>
                <w:color w:val="auto"/>
                <w:sz w:val="21"/>
                <w:szCs w:val="21"/>
                <w:lang w:val="en-US" w:eastAsia="zh-CN"/>
              </w:rPr>
              <w:t>E9.2</w:t>
            </w:r>
          </w:p>
        </w:tc>
        <w:tc>
          <w:tcPr>
            <w:tcW w:w="1225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公司制定</w:t>
            </w:r>
            <w:r>
              <w:rPr>
                <w:rFonts w:hint="eastAsia" w:ascii="宋体" w:hAnsi="宋体" w:eastAsia="宋体" w:cs="宋体"/>
                <w:color w:val="auto"/>
                <w:sz w:val="21"/>
                <w:szCs w:val="21"/>
                <w:highlight w:val="none"/>
                <w:lang w:val="en-US" w:eastAsia="zh-CN"/>
              </w:rPr>
              <w:t>了</w:t>
            </w:r>
            <w:r>
              <w:rPr>
                <w:rFonts w:hint="eastAsia" w:ascii="宋体" w:hAnsi="宋体" w:eastAsia="宋体" w:cs="宋体"/>
                <w:color w:val="auto"/>
                <w:sz w:val="21"/>
                <w:szCs w:val="21"/>
                <w:highlight w:val="none"/>
              </w:rPr>
              <w:t>《内部审核程序》，对内部审核方案策划规定：内审每年进行一次，按部门审核。管代介绍内审的安排和做法，与程序文件</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rPr>
              <w:t>相符。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查内审计划，涉及了所有部门及相关过程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计划编制合理，条款无</w:t>
            </w:r>
            <w:r>
              <w:rPr>
                <w:rFonts w:hint="eastAsia" w:ascii="宋体" w:hAnsi="宋体" w:eastAsia="宋体" w:cs="宋体"/>
                <w:color w:val="auto"/>
                <w:sz w:val="21"/>
                <w:szCs w:val="21"/>
                <w:highlight w:val="none"/>
                <w:lang w:val="en-US" w:eastAsia="zh-CN"/>
              </w:rPr>
              <w:t>遗漏</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审核活动共提出</w:t>
            </w:r>
            <w:r>
              <w:rPr>
                <w:rFonts w:hint="eastAsia" w:ascii="宋体" w:hAnsi="宋体" w:eastAsia="宋体" w:cs="宋体"/>
                <w:color w:val="auto"/>
                <w:sz w:val="21"/>
                <w:szCs w:val="21"/>
                <w:highlight w:val="none"/>
                <w:lang w:val="en-US" w:eastAsia="zh-CN"/>
              </w:rPr>
              <w:t>涉及GB/T24001-2016标准1</w:t>
            </w:r>
            <w:r>
              <w:rPr>
                <w:rFonts w:hint="eastAsia" w:ascii="宋体" w:hAnsi="宋体" w:eastAsia="宋体" w:cs="宋体"/>
                <w:color w:val="auto"/>
                <w:sz w:val="21"/>
                <w:szCs w:val="21"/>
                <w:highlight w:val="none"/>
              </w:rPr>
              <w:t>个不符合项，</w:t>
            </w:r>
            <w:r>
              <w:rPr>
                <w:rFonts w:hint="eastAsia" w:ascii="宋体" w:hAnsi="宋体" w:eastAsia="宋体" w:cs="宋体"/>
                <w:color w:val="auto"/>
                <w:sz w:val="21"/>
                <w:szCs w:val="21"/>
                <w:highlight w:val="none"/>
                <w:lang w:val="en-US" w:eastAsia="zh-CN"/>
              </w:rPr>
              <w:t>责任单位为</w:t>
            </w:r>
            <w:r>
              <w:rPr>
                <w:rFonts w:hint="eastAsia" w:ascii="宋体" w:hAnsi="宋体" w:eastAsia="宋体" w:cs="宋体"/>
                <w:color w:val="auto"/>
                <w:sz w:val="21"/>
                <w:szCs w:val="21"/>
                <w:highlight w:val="none"/>
              </w:rPr>
              <w:t>生产</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涉及条款</w:t>
            </w:r>
            <w:r>
              <w:rPr>
                <w:rFonts w:hint="eastAsia" w:ascii="宋体" w:hAnsi="宋体" w:eastAsia="宋体" w:cs="宋体"/>
                <w:color w:val="auto"/>
                <w:sz w:val="21"/>
                <w:szCs w:val="21"/>
                <w:highlight w:val="none"/>
                <w:lang w:val="en-US" w:eastAsia="zh-CN"/>
              </w:rPr>
              <w:t>为8.1</w:t>
            </w:r>
            <w:r>
              <w:rPr>
                <w:rFonts w:hint="eastAsia" w:ascii="宋体" w:hAnsi="宋体" w:eastAsia="宋体" w:cs="宋体"/>
                <w:color w:val="auto"/>
                <w:sz w:val="21"/>
                <w:szCs w:val="21"/>
                <w:highlight w:val="none"/>
              </w:rPr>
              <w:t>条款</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查内审报告：对体系文件和对体系的运作的符合性和有效性进行了评价，结论为：本公司管理体系基本符合ISO 9001：2015、ISO </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 xml:space="preserve">001：2015、ISO45001：2018的要求，方针是适宜的，符合标准要求和法律法规要求，公司管理体系得到了有效实施，运行是有效的。    </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sz w:val="21"/>
                <w:szCs w:val="21"/>
                <w:lang w:val="en-US" w:eastAsia="zh-CN"/>
              </w:rPr>
            </w:pPr>
            <w:r>
              <w:rPr>
                <w:rFonts w:hint="eastAsia" w:ascii="宋体" w:hAnsi="宋体" w:eastAsia="宋体" w:cs="宋体"/>
                <w:color w:val="auto"/>
                <w:sz w:val="21"/>
                <w:szCs w:val="21"/>
                <w:highlight w:val="none"/>
              </w:rPr>
              <w:t>审核记录</w:t>
            </w:r>
            <w:r>
              <w:rPr>
                <w:rFonts w:hint="eastAsia" w:ascii="宋体" w:hAnsi="宋体" w:eastAsia="宋体" w:cs="宋体"/>
                <w:color w:val="auto"/>
                <w:sz w:val="21"/>
                <w:szCs w:val="21"/>
                <w:highlight w:val="none"/>
                <w:lang w:val="en-US" w:eastAsia="zh-CN"/>
              </w:rPr>
              <w:t>是否符合要求、</w:t>
            </w:r>
            <w:r>
              <w:rPr>
                <w:rFonts w:hint="eastAsia" w:ascii="宋体" w:hAnsi="宋体" w:eastAsia="宋体" w:cs="宋体"/>
                <w:color w:val="auto"/>
                <w:sz w:val="21"/>
                <w:szCs w:val="21"/>
                <w:highlight w:val="none"/>
              </w:rPr>
              <w:t>不符合项</w:t>
            </w:r>
            <w:r>
              <w:rPr>
                <w:rFonts w:hint="eastAsia" w:ascii="宋体" w:hAnsi="宋体" w:eastAsia="宋体" w:cs="宋体"/>
                <w:color w:val="auto"/>
                <w:sz w:val="21"/>
                <w:szCs w:val="21"/>
                <w:highlight w:val="none"/>
                <w:lang w:val="en-US" w:eastAsia="zh-CN"/>
              </w:rPr>
              <w:t>整改的有效期如何等细节，有待二阶段审核关注。</w:t>
            </w:r>
          </w:p>
        </w:tc>
        <w:tc>
          <w:tcPr>
            <w:tcW w:w="36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bl>
    <w:p/>
    <w:p>
      <w:pPr>
        <w:pStyle w:val="2"/>
      </w:pPr>
    </w:p>
    <w:tbl>
      <w:tblPr>
        <w:tblStyle w:val="7"/>
        <w:tblW w:w="146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59"/>
        <w:gridCol w:w="12250"/>
        <w:gridCol w:w="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1227"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sz w:val="21"/>
                <w:szCs w:val="21"/>
              </w:rPr>
            </w:pPr>
            <w:r>
              <w:rPr>
                <w:rFonts w:hint="eastAsia"/>
                <w:sz w:val="21"/>
                <w:szCs w:val="21"/>
              </w:rPr>
              <w:t>过程与活动、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1"/>
                <w:szCs w:val="21"/>
              </w:rPr>
            </w:pPr>
            <w:r>
              <w:rPr>
                <w:rFonts w:hint="eastAsia"/>
                <w:sz w:val="21"/>
                <w:szCs w:val="21"/>
              </w:rPr>
              <w:t>抽样计划</w:t>
            </w:r>
          </w:p>
        </w:tc>
        <w:tc>
          <w:tcPr>
            <w:tcW w:w="7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涉及</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条款</w:t>
            </w:r>
          </w:p>
        </w:tc>
        <w:tc>
          <w:tcPr>
            <w:tcW w:w="1225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sz w:val="21"/>
                <w:szCs w:val="21"/>
                <w:lang w:val="en-US" w:eastAsia="zh-CN"/>
              </w:rPr>
            </w:pPr>
            <w:r>
              <w:rPr>
                <w:rFonts w:hint="eastAsia"/>
                <w:sz w:val="21"/>
                <w:szCs w:val="21"/>
              </w:rPr>
              <w:t>受审核部门：</w:t>
            </w:r>
            <w:r>
              <w:rPr>
                <w:rFonts w:hint="eastAsia"/>
                <w:sz w:val="21"/>
                <w:szCs w:val="21"/>
                <w:lang w:val="en-US" w:eastAsia="zh-CN"/>
              </w:rPr>
              <w:t xml:space="preserve">生产技术部           </w:t>
            </w:r>
            <w:r>
              <w:rPr>
                <w:rFonts w:hint="eastAsia"/>
                <w:sz w:val="21"/>
                <w:szCs w:val="21"/>
              </w:rPr>
              <w:t>主管领导</w:t>
            </w:r>
            <w:r>
              <w:rPr>
                <w:rFonts w:hint="eastAsia"/>
                <w:sz w:val="21"/>
                <w:szCs w:val="21"/>
                <w:lang w:eastAsia="zh-CN"/>
              </w:rPr>
              <w:t>：</w:t>
            </w:r>
            <w:r>
              <w:rPr>
                <w:rFonts w:hint="eastAsia" w:ascii="宋体" w:hAnsi="宋体" w:eastAsia="宋体" w:cs="宋体"/>
                <w:color w:val="auto"/>
                <w:sz w:val="21"/>
                <w:szCs w:val="21"/>
                <w:highlight w:val="none"/>
                <w:lang w:val="en-US" w:eastAsia="zh-CN"/>
              </w:rPr>
              <w:t>孙瑞玲</w:t>
            </w:r>
            <w:r>
              <w:rPr>
                <w:rFonts w:hint="eastAsia" w:ascii="宋体" w:hAnsi="宋体" w:eastAsia="宋体" w:cs="宋体"/>
                <w:color w:val="auto"/>
                <w:sz w:val="21"/>
                <w:szCs w:val="21"/>
                <w:highlight w:val="none"/>
              </w:rPr>
              <w:t xml:space="preserve"> </w:t>
            </w:r>
          </w:p>
        </w:tc>
        <w:tc>
          <w:tcPr>
            <w:tcW w:w="36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c>
          <w:tcPr>
            <w:tcW w:w="7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c>
          <w:tcPr>
            <w:tcW w:w="12250" w:type="dxa"/>
            <w:vAlign w:val="center"/>
          </w:tcPr>
          <w:p>
            <w:pPr>
              <w:keepNext w:val="0"/>
              <w:keepLines w:val="0"/>
              <w:pageBreakBefore w:val="0"/>
              <w:widowControl w:val="0"/>
              <w:kinsoku/>
              <w:wordWrap/>
              <w:overflowPunct/>
              <w:topLinePunct w:val="0"/>
              <w:autoSpaceDE/>
              <w:autoSpaceDN/>
              <w:bidi w:val="0"/>
              <w:adjustRightInd/>
              <w:snapToGrid/>
              <w:spacing w:before="120" w:line="360" w:lineRule="auto"/>
              <w:textAlignment w:val="auto"/>
              <w:rPr>
                <w:sz w:val="21"/>
                <w:szCs w:val="21"/>
              </w:rPr>
            </w:pPr>
            <w:r>
              <w:rPr>
                <w:rFonts w:hint="eastAsia"/>
                <w:sz w:val="21"/>
                <w:szCs w:val="21"/>
              </w:rPr>
              <w:t>审核员：</w:t>
            </w:r>
            <w:r>
              <w:rPr>
                <w:rFonts w:hint="eastAsia"/>
                <w:sz w:val="21"/>
                <w:szCs w:val="21"/>
                <w:lang w:val="en-US" w:eastAsia="zh-CN"/>
              </w:rPr>
              <w:t xml:space="preserve">刘玉兰     </w:t>
            </w:r>
            <w:r>
              <w:rPr>
                <w:rFonts w:hint="eastAsia"/>
                <w:sz w:val="21"/>
                <w:szCs w:val="21"/>
              </w:rPr>
              <w:t>审核时间：</w:t>
            </w:r>
            <w:r>
              <w:rPr>
                <w:rFonts w:hint="eastAsia"/>
                <w:sz w:val="21"/>
                <w:szCs w:val="21"/>
                <w:lang w:eastAsia="zh-CN"/>
              </w:rPr>
              <w:t>2021-5-2</w:t>
            </w:r>
            <w:r>
              <w:rPr>
                <w:rFonts w:hint="eastAsia"/>
                <w:sz w:val="21"/>
                <w:szCs w:val="21"/>
                <w:lang w:val="en-US" w:eastAsia="zh-CN"/>
              </w:rPr>
              <w:t>3</w:t>
            </w:r>
          </w:p>
        </w:tc>
        <w:tc>
          <w:tcPr>
            <w:tcW w:w="365"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c>
          <w:tcPr>
            <w:tcW w:w="7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c>
          <w:tcPr>
            <w:tcW w:w="1225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1"/>
                <w:szCs w:val="21"/>
                <w:lang w:eastAsia="zh-CN"/>
              </w:rPr>
            </w:pPr>
            <w:r>
              <w:rPr>
                <w:rFonts w:hint="eastAsia"/>
                <w:sz w:val="21"/>
                <w:szCs w:val="21"/>
              </w:rPr>
              <w:t>审核条款：</w:t>
            </w:r>
            <w:r>
              <w:rPr>
                <w:rFonts w:hint="eastAsia" w:ascii="宋体" w:hAnsi="宋体" w:eastAsia="宋体" w:cs="宋体"/>
                <w:sz w:val="21"/>
                <w:szCs w:val="21"/>
                <w:lang w:val="en-US" w:eastAsia="zh-CN"/>
              </w:rPr>
              <w:t>6.1.2</w:t>
            </w:r>
            <w:r>
              <w:rPr>
                <w:rFonts w:hint="eastAsia" w:ascii="宋体" w:hAnsi="宋体" w:eastAsia="宋体" w:cs="宋体"/>
                <w:b w:val="0"/>
                <w:bCs/>
                <w:color w:val="auto"/>
                <w:sz w:val="21"/>
                <w:szCs w:val="21"/>
                <w:highlight w:val="none"/>
                <w:lang w:eastAsia="zh-CN"/>
              </w:rPr>
              <w:t>。</w:t>
            </w:r>
          </w:p>
        </w:tc>
        <w:tc>
          <w:tcPr>
            <w:tcW w:w="365"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22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1"/>
                <w:szCs w:val="21"/>
                <w:lang w:val="en-US" w:eastAsia="zh-CN"/>
              </w:rPr>
            </w:pPr>
            <w:r>
              <w:rPr>
                <w:rFonts w:hint="eastAsia" w:ascii="宋体" w:hAnsi="宋体" w:cs="宋体"/>
                <w:b w:val="0"/>
                <w:bCs/>
                <w:color w:val="auto"/>
                <w:sz w:val="21"/>
                <w:szCs w:val="21"/>
                <w:highlight w:val="none"/>
                <w:lang w:val="en-US" w:eastAsia="zh-CN"/>
              </w:rPr>
              <w:t>环境因素识别</w:t>
            </w:r>
            <w:r>
              <w:rPr>
                <w:rFonts w:hint="eastAsia" w:ascii="宋体" w:hAnsi="宋体" w:eastAsia="宋体" w:cs="宋体"/>
                <w:b w:val="0"/>
                <w:bCs/>
                <w:color w:val="auto"/>
                <w:sz w:val="21"/>
                <w:szCs w:val="21"/>
                <w:highlight w:val="none"/>
              </w:rPr>
              <w:t>和评价程序合理性</w:t>
            </w:r>
          </w:p>
        </w:tc>
        <w:tc>
          <w:tcPr>
            <w:tcW w:w="75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auto"/>
                <w:sz w:val="21"/>
                <w:szCs w:val="21"/>
                <w:lang w:val="en-US" w:eastAsia="zh-CN"/>
              </w:rPr>
            </w:pPr>
            <w:r>
              <w:rPr>
                <w:rFonts w:hint="eastAsia" w:ascii="宋体" w:hAnsi="宋体" w:cs="宋体"/>
                <w:b w:val="0"/>
                <w:bCs/>
                <w:color w:val="auto"/>
                <w:sz w:val="21"/>
                <w:szCs w:val="21"/>
                <w:lang w:val="en-US" w:eastAsia="zh-CN"/>
              </w:rPr>
              <w:t>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lang w:val="en-US"/>
              </w:rPr>
            </w:pPr>
            <w:r>
              <w:rPr>
                <w:rFonts w:hint="eastAsia" w:ascii="宋体" w:hAnsi="宋体" w:cs="宋体"/>
                <w:b w:val="0"/>
                <w:bCs/>
                <w:color w:val="auto"/>
                <w:sz w:val="21"/>
                <w:szCs w:val="21"/>
                <w:lang w:val="en-US" w:eastAsia="zh-CN"/>
              </w:rPr>
              <w:t>6.1.2</w:t>
            </w:r>
          </w:p>
        </w:tc>
        <w:tc>
          <w:tcPr>
            <w:tcW w:w="12250" w:type="dxa"/>
          </w:tcPr>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w:t>
            </w:r>
            <w:r>
              <w:rPr>
                <w:rFonts w:hint="eastAsia" w:ascii="宋体" w:hAnsi="宋体" w:eastAsia="宋体" w:cs="宋体"/>
                <w:color w:val="auto"/>
                <w:sz w:val="21"/>
                <w:szCs w:val="21"/>
                <w:highlight w:val="none"/>
              </w:rPr>
              <w:t>策划、编制了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环境因素识别</w:t>
            </w:r>
            <w:r>
              <w:rPr>
                <w:rFonts w:hint="eastAsia" w:ascii="宋体" w:hAnsi="宋体" w:eastAsia="宋体" w:cs="宋体"/>
                <w:color w:val="auto"/>
                <w:sz w:val="21"/>
                <w:szCs w:val="21"/>
                <w:highlight w:val="none"/>
                <w:lang w:eastAsia="zh-CN"/>
              </w:rPr>
              <w:t>与</w:t>
            </w:r>
            <w:r>
              <w:rPr>
                <w:rFonts w:hint="eastAsia" w:ascii="宋体" w:hAnsi="宋体" w:eastAsia="宋体" w:cs="宋体"/>
                <w:color w:val="auto"/>
                <w:sz w:val="21"/>
                <w:szCs w:val="21"/>
                <w:highlight w:val="none"/>
                <w:lang w:val="en-US" w:eastAsia="zh-CN"/>
              </w:rPr>
              <w:t>环境</w:t>
            </w:r>
            <w:r>
              <w:rPr>
                <w:rFonts w:hint="eastAsia" w:ascii="宋体" w:hAnsi="宋体" w:eastAsia="宋体" w:cs="宋体"/>
                <w:color w:val="auto"/>
                <w:sz w:val="21"/>
                <w:szCs w:val="21"/>
                <w:highlight w:val="none"/>
                <w:lang w:eastAsia="zh-CN"/>
              </w:rPr>
              <w:t>风险评价控制程序》</w:t>
            </w:r>
            <w:r>
              <w:rPr>
                <w:rFonts w:hint="eastAsia" w:ascii="宋体" w:hAnsi="宋体" w:eastAsia="宋体" w:cs="宋体"/>
                <w:color w:val="auto"/>
                <w:sz w:val="21"/>
                <w:szCs w:val="21"/>
                <w:highlight w:val="none"/>
              </w:rPr>
              <w:t>，经文审符合标准要求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但评价准则在实际应用中太过繁复，可操作性不强，已提出改进建议。</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该部门按程序要求开展了相关工作：</w:t>
            </w:r>
          </w:p>
          <w:p>
            <w:pPr>
              <w:pStyle w:val="2"/>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firstLine="46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1.按岗位开展环境因素识别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共环境因素6项，并汇总在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环境因素清单</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中，包括：火灾、电的消耗；水的消耗；纸张的消耗；固废（布料的边角余料）外排、噪声外排等。</w:t>
            </w:r>
          </w:p>
          <w:p>
            <w:pPr>
              <w:pStyle w:val="2"/>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firstLine="46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2.应用头脑风暴法和经验法评价上述环境因素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结果为：</w:t>
            </w:r>
          </w:p>
          <w:p>
            <w:pPr>
              <w:pStyle w:val="2"/>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1）重要环境因素3个——火灾、电的消耗、固废（布料的边角余料）外排。</w:t>
            </w:r>
          </w:p>
          <w:p>
            <w:pPr>
              <w:pStyle w:val="2"/>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2）一般环境因素3个——水的消耗、</w:t>
            </w:r>
            <w:r>
              <w:rPr>
                <w:rFonts w:hint="eastAsia" w:ascii="宋体" w:hAnsi="宋体" w:eastAsia="宋体" w:cs="宋体"/>
                <w:b w:val="0"/>
                <w:bCs/>
                <w:color w:val="auto"/>
                <w:sz w:val="21"/>
                <w:szCs w:val="21"/>
                <w:highlight w:val="none"/>
                <w:lang w:val="en-US" w:eastAsia="zh-CN"/>
              </w:rPr>
              <w:t>纸张的消耗、噪声外排</w:t>
            </w:r>
            <w:r>
              <w:rPr>
                <w:rFonts w:hint="eastAsia" w:ascii="宋体" w:hAnsi="宋体" w:eastAsia="宋体" w:cs="宋体"/>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3.针对每一个环境因素，均策划了控制措施。如：</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1）火灾——作业区及仓库严禁吸烟；</w:t>
            </w:r>
            <w:r>
              <w:rPr>
                <w:rFonts w:hint="eastAsia" w:ascii="宋体" w:hAnsi="宋体" w:eastAsia="宋体" w:cs="宋体"/>
                <w:bCs/>
                <w:color w:val="auto"/>
                <w:sz w:val="21"/>
                <w:szCs w:val="21"/>
                <w:highlight w:val="none"/>
                <w:lang w:val="en-US" w:eastAsia="zh-CN"/>
              </w:rPr>
              <w:t>配备足够数量的灭火器，且保证其合格</w:t>
            </w:r>
            <w:r>
              <w:rPr>
                <w:rFonts w:hint="eastAsia" w:ascii="宋体" w:hAnsi="宋体" w:eastAsia="宋体" w:cs="宋体"/>
                <w:b w:val="0"/>
                <w:bCs/>
                <w:color w:val="auto"/>
                <w:sz w:val="21"/>
                <w:szCs w:val="21"/>
                <w:highlight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2）电的消耗——倡导职工节约用电，发现浪费行为及时制止；合理安排工序人数，缩短缩短高耗电工序的作业时间，在保证生产的前提下尽量节约用电，如压衬工序。</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3）固废（布料的边角余料）处置——制定制度，每天清理并集中，然后倒入市政生活垃圾箱。</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4）纸张的消耗——倡导职工节约用纸，发现浪费行为及时制止；只要可能，打印纸必须两面使用。</w:t>
            </w:r>
          </w:p>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5）噪声外排——定期保养设备，并按规程操作设备，避免产生异常噪声。</w:t>
            </w:r>
            <w:r>
              <w:rPr>
                <w:rFonts w:hint="eastAsia" w:ascii="宋体" w:hAnsi="宋体" w:eastAsia="宋体" w:cs="宋体"/>
                <w:color w:val="auto"/>
                <w:sz w:val="21"/>
                <w:szCs w:val="21"/>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◆公司制定并实施了《</w:t>
            </w:r>
            <w:r>
              <w:rPr>
                <w:rFonts w:hint="eastAsia" w:ascii="宋体" w:hAnsi="宋体" w:eastAsia="宋体" w:cs="宋体"/>
                <w:color w:val="auto"/>
                <w:sz w:val="21"/>
                <w:szCs w:val="21"/>
                <w:highlight w:val="none"/>
                <w:lang w:val="en-US" w:eastAsia="zh-CN"/>
              </w:rPr>
              <w:t>节水节电管理制度</w:t>
            </w:r>
            <w:r>
              <w:rPr>
                <w:rFonts w:hint="eastAsia" w:ascii="宋体" w:hAnsi="宋体" w:eastAsia="宋体" w:cs="宋体"/>
                <w:color w:val="auto"/>
                <w:sz w:val="21"/>
                <w:szCs w:val="21"/>
                <w:highlight w:val="none"/>
              </w:rPr>
              <w:t>》、《消防安全管理制度》、《应急</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控制程序》等</w:t>
            </w:r>
            <w:r>
              <w:rPr>
                <w:rFonts w:hint="eastAsia" w:ascii="宋体" w:hAnsi="宋体" w:eastAsia="宋体" w:cs="宋体"/>
                <w:color w:val="auto"/>
                <w:sz w:val="21"/>
                <w:szCs w:val="21"/>
                <w:highlight w:val="none"/>
                <w:lang w:val="en-US" w:eastAsia="zh-CN"/>
              </w:rPr>
              <w:t>环境</w:t>
            </w:r>
            <w:r>
              <w:rPr>
                <w:rFonts w:hint="eastAsia" w:ascii="宋体" w:hAnsi="宋体" w:eastAsia="宋体" w:cs="宋体"/>
                <w:color w:val="auto"/>
                <w:sz w:val="21"/>
                <w:szCs w:val="21"/>
                <w:highlight w:val="none"/>
              </w:rPr>
              <w:t>管理制度。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sz w:val="21"/>
                <w:szCs w:val="21"/>
                <w:lang w:val="en-US" w:eastAsia="zh-CN"/>
              </w:rPr>
            </w:pPr>
            <w:r>
              <w:rPr>
                <w:rFonts w:hint="eastAsia" w:ascii="宋体" w:hAnsi="宋体" w:eastAsia="宋体" w:cs="宋体"/>
                <w:color w:val="auto"/>
                <w:sz w:val="21"/>
                <w:szCs w:val="21"/>
                <w:highlight w:val="none"/>
                <w:lang w:val="en-US" w:eastAsia="zh-CN"/>
              </w:rPr>
              <w:t>上述识别的内容是否全面、评价是否准确、控制措施及相关制度是否落实、是否有效等细节，有待二阶段审核关注。</w:t>
            </w:r>
          </w:p>
        </w:tc>
        <w:tc>
          <w:tcPr>
            <w:tcW w:w="36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bl>
    <w:p/>
    <w:p>
      <w:pPr>
        <w:pStyle w:val="5"/>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w:pict>
        <v:shape id="_x0000_s2049" o:spid="_x0000_s2049"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B033F5"/>
    <w:rsid w:val="08910E93"/>
    <w:rsid w:val="469737BE"/>
    <w:rsid w:val="56FA2E10"/>
    <w:rsid w:val="59EB312B"/>
    <w:rsid w:val="64095D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ascii="宋体" w:hAnsi="Courier New"/>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6</TotalTime>
  <ScaleCrop>false</ScaleCrop>
  <LinksUpToDate>false</LinksUpToDate>
  <CharactersWithSpaces>100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llg881223</cp:lastModifiedBy>
  <dcterms:modified xsi:type="dcterms:W3CDTF">2021-05-26T04:58:35Z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3E9854702A8B4C13B5864FA9BA70E4A5</vt:lpwstr>
  </property>
</Properties>
</file>