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3"/>
        <w:gridCol w:w="920"/>
        <w:gridCol w:w="940"/>
        <w:gridCol w:w="1020"/>
        <w:gridCol w:w="820"/>
        <w:gridCol w:w="1320"/>
        <w:gridCol w:w="1200"/>
        <w:gridCol w:w="1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96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四川苏华能源工程有限公司</w:t>
            </w:r>
            <w:bookmarkEnd w:id="4"/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26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工艺流程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签订合同----工程估算----工程概算---施工图设计----竣工图设计----交付。</w:t>
            </w:r>
          </w:p>
          <w:p>
            <w:pPr>
              <w:spacing w:line="400" w:lineRule="exact"/>
              <w:ind w:firstLine="420" w:firstLineChars="200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设计过程</w:t>
            </w:r>
            <w:r>
              <w:rPr>
                <w:rFonts w:hint="eastAsia" w:ascii="宋体" w:hAnsi="宋体"/>
                <w:sz w:val="21"/>
                <w:szCs w:val="21"/>
              </w:rPr>
              <w:t>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pacing w:line="46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主要质量要求：工程设计质量等</w:t>
            </w:r>
          </w:p>
          <w:p>
            <w:pPr>
              <w:spacing w:line="460" w:lineRule="atLeast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关键控制点：工程</w:t>
            </w:r>
            <w:r>
              <w:rPr>
                <w:rFonts w:hint="eastAsia" w:ascii="宋体" w:hAnsi="宋体"/>
                <w:szCs w:val="22"/>
              </w:rPr>
              <w:t>概算</w:t>
            </w:r>
            <w:r>
              <w:rPr>
                <w:rFonts w:hint="eastAsia" w:ascii="宋体" w:hAnsi="宋体"/>
              </w:rPr>
              <w:t>、设计质量等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80" w:lineRule="exact"/>
              <w:rPr>
                <w:rFonts w:hint="default" w:ascii="宋体" w:hAnsi="宋体" w:cs="Times New Roman"/>
                <w:spacing w:val="-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</w:rPr>
              <w:t>重要环境</w:t>
            </w: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因素：1）固废排放；2）潜在火灾；</w:t>
            </w:r>
          </w:p>
          <w:p>
            <w:pPr>
              <w:spacing w:line="48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控制措施：</w:t>
            </w:r>
            <w:r>
              <w:rPr>
                <w:rFonts w:hint="eastAsia" w:ascii="宋体" w:hAnsi="宋体" w:cs="Times New Roman"/>
                <w:spacing w:val="-8"/>
                <w:szCs w:val="22"/>
              </w:rPr>
              <w:t>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</w:rPr>
              <w:t>不可接受风险</w:t>
            </w: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1）火灾；2）触电；</w:t>
            </w:r>
            <w:bookmarkStart w:id="6" w:name="_GoBack"/>
            <w:bookmarkEnd w:id="6"/>
          </w:p>
          <w:p>
            <w:pPr>
              <w:spacing w:line="48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控制措施：</w:t>
            </w:r>
            <w:r>
              <w:rPr>
                <w:rFonts w:hint="eastAsia" w:ascii="宋体" w:hAnsi="宋体" w:cs="Times New Roman"/>
                <w:spacing w:val="-8"/>
                <w:szCs w:val="22"/>
              </w:rPr>
              <w:t>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电力工程电缆设计规范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 w:val="21"/>
                <w:szCs w:val="21"/>
              </w:rPr>
              <w:t>B50217-2007、电力建设施工及验收技术规范（建筑工程篇） SDJ 69-87、电力建设施工及验收技术规范（水工结构工程篇）SDJ280-90、电力建设施工及验收技术规范(第五部分热工自动化) DL/T5190.5-2004、电力建设施工及验收技术规范(管道篇) DL 5031-94等。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图纸校对、审批等。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26670</wp:posOffset>
            </wp:positionV>
            <wp:extent cx="323850" cy="335280"/>
            <wp:effectExtent l="0" t="0" r="635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36195</wp:posOffset>
            </wp:positionV>
            <wp:extent cx="323850" cy="335280"/>
            <wp:effectExtent l="0" t="0" r="635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2021.6.8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2021.6.8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8332978"/>
    <w:rsid w:val="618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2021-06-07T08:04:41Z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52DBEE141B5946A9A72ADF7694D5D24B</vt:lpwstr>
  </property>
</Properties>
</file>