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四川苏华能源工程有限公司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成都市金牛区交大路221号2-635号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李向卉</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18081920790</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费万群</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0204-2018-QEO-2021</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b/>
                <w:sz w:val="20"/>
                <w:lang w:val="de-DE"/>
              </w:rPr>
              <w:t>■</w:t>
            </w:r>
            <w:r>
              <w:rPr>
                <w:spacing w:val="-2"/>
                <w:sz w:val="20"/>
              </w:rPr>
              <w:t>QMS</w:t>
            </w:r>
            <w:r>
              <w:rPr>
                <w:rFonts w:hint="eastAsia"/>
                <w:sz w:val="20"/>
              </w:rPr>
              <w:t>□5</w:t>
            </w:r>
            <w:r>
              <w:rPr>
                <w:sz w:val="20"/>
              </w:rPr>
              <w:t>0430</w:t>
            </w:r>
            <w:r>
              <w:rPr>
                <w:rFonts w:hint="eastAsia"/>
                <w:b/>
                <w:sz w:val="20"/>
                <w:lang w:val="de-DE"/>
              </w:rPr>
              <w:t>■</w:t>
            </w:r>
            <w:r>
              <w:rPr>
                <w:spacing w:val="-2"/>
                <w:sz w:val="20"/>
              </w:rPr>
              <w:t>EMS</w:t>
            </w:r>
            <w:r>
              <w:rPr>
                <w:rFonts w:hint="eastAsia"/>
                <w:b/>
                <w:sz w:val="20"/>
                <w:lang w:val="de-DE"/>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Q:监查2,E:监查2,O:监查2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b/>
                <w:sz w:val="20"/>
                <w:lang w:val="de-DE"/>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Q：资质范围内电力工程设计</w:t>
            </w:r>
          </w:p>
          <w:p>
            <w:pPr>
              <w:rPr>
                <w:sz w:val="20"/>
              </w:rPr>
            </w:pPr>
            <w:r>
              <w:rPr>
                <w:sz w:val="20"/>
              </w:rPr>
              <w:t>E：资质范围内电力工程设计及所涉及场所的相关环境管理活动</w:t>
            </w:r>
          </w:p>
          <w:p>
            <w:pPr>
              <w:rPr>
                <w:sz w:val="20"/>
              </w:rPr>
            </w:pPr>
            <w:r>
              <w:rPr>
                <w:sz w:val="20"/>
              </w:rPr>
              <w:t>O：资质范围内电力工程设计及所涉及场所的相关职业健康安全管理活动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Q：34.01.02</w:t>
            </w:r>
          </w:p>
          <w:p>
            <w:pPr>
              <w:rPr>
                <w:sz w:val="20"/>
              </w:rPr>
            </w:pPr>
            <w:r>
              <w:rPr>
                <w:sz w:val="20"/>
              </w:rPr>
              <w:t>E：34.01.02</w:t>
            </w:r>
          </w:p>
          <w:p>
            <w:pPr>
              <w:rPr>
                <w:sz w:val="20"/>
              </w:rPr>
            </w:pPr>
            <w:r>
              <w:rPr>
                <w:sz w:val="20"/>
              </w:rPr>
              <w:t>O：34.01.02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b/>
                <w:sz w:val="20"/>
                <w:lang w:val="de-DE"/>
              </w:rPr>
              <w:t>□ GB/T 28001-2011 idt OHSMS 18001:2007标准</w:t>
            </w:r>
          </w:p>
          <w:p>
            <w:pPr>
              <w:tabs>
                <w:tab w:val="center" w:pos="4153"/>
                <w:tab w:val="right" w:pos="8306"/>
              </w:tabs>
              <w:snapToGrid w:val="0"/>
              <w:spacing w:line="276" w:lineRule="auto"/>
              <w:rPr>
                <w:b/>
                <w:sz w:val="20"/>
                <w:lang w:val="de-DE"/>
              </w:rPr>
            </w:pPr>
            <w:bookmarkStart w:id="14" w:name="S勾选Add"/>
            <w:r>
              <w:rPr>
                <w:rFonts w:hint="eastAsia"/>
                <w:b/>
                <w:sz w:val="20"/>
                <w:lang w:val="de-DE"/>
              </w:rPr>
              <w:t>■</w:t>
            </w:r>
            <w:bookmarkEnd w:id="14"/>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2021年06月08日 上午</w:t>
            </w:r>
            <w:bookmarkEnd w:id="15"/>
            <w:r>
              <w:rPr>
                <w:rFonts w:hint="eastAsia"/>
                <w:b/>
                <w:sz w:val="20"/>
              </w:rPr>
              <w:t>至</w:t>
            </w:r>
            <w:bookmarkStart w:id="16" w:name="审核结束日"/>
            <w:r>
              <w:rPr>
                <w:rFonts w:hint="eastAsia"/>
                <w:b/>
                <w:sz w:val="20"/>
              </w:rPr>
              <w:t>2021年06月08日 下午</w:t>
            </w:r>
            <w:bookmarkEnd w:id="16"/>
            <w:r>
              <w:rPr>
                <w:rFonts w:hint="eastAsia"/>
                <w:b/>
                <w:sz w:val="20"/>
              </w:rPr>
              <w:t xml:space="preserve">，共 </w:t>
            </w:r>
            <w:bookmarkStart w:id="17" w:name="审核天数"/>
            <w:r>
              <w:rPr>
                <w:rFonts w:hint="eastAsia"/>
                <w:b/>
                <w:sz w:val="20"/>
              </w:rPr>
              <w:t>1.0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b/>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文平</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2019-N1QMS-3093566</w:t>
            </w:r>
          </w:p>
          <w:p>
            <w:pPr>
              <w:jc w:val="center"/>
              <w:rPr>
                <w:sz w:val="20"/>
              </w:rPr>
            </w:pPr>
            <w:r>
              <w:rPr>
                <w:sz w:val="20"/>
              </w:rPr>
              <w:t>2021-N1EMS-3093566</w:t>
            </w:r>
          </w:p>
          <w:p>
            <w:pPr>
              <w:jc w:val="center"/>
              <w:rPr>
                <w:sz w:val="20"/>
              </w:rPr>
            </w:pPr>
            <w:r>
              <w:rPr>
                <w:sz w:val="20"/>
              </w:rPr>
              <w:t>2019-N1OHSMS-2093566</w:t>
            </w:r>
          </w:p>
        </w:tc>
        <w:tc>
          <w:tcPr>
            <w:tcW w:w="1559" w:type="dxa"/>
            <w:gridSpan w:val="5"/>
            <w:vAlign w:val="center"/>
          </w:tcPr>
          <w:p>
            <w:pPr>
              <w:jc w:val="center"/>
              <w:rPr>
                <w:sz w:val="20"/>
              </w:rPr>
            </w:pPr>
            <w:r>
              <w:rPr>
                <w:sz w:val="20"/>
              </w:rPr>
              <w:t>Q:34.01.02</w:t>
            </w:r>
          </w:p>
          <w:p>
            <w:pPr>
              <w:jc w:val="center"/>
              <w:rPr>
                <w:sz w:val="20"/>
              </w:rPr>
            </w:pPr>
            <w:r>
              <w:rPr>
                <w:sz w:val="20"/>
              </w:rPr>
              <w:t>E:34.01.02</w:t>
            </w:r>
          </w:p>
          <w:p>
            <w:pPr>
              <w:jc w:val="center"/>
              <w:rPr>
                <w:sz w:val="20"/>
              </w:rPr>
            </w:pPr>
            <w:r>
              <w:rPr>
                <w:sz w:val="20"/>
              </w:rPr>
              <w:t>O:34.01.02</w:t>
            </w:r>
          </w:p>
        </w:tc>
        <w:tc>
          <w:tcPr>
            <w:tcW w:w="1324"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杨珍全</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2018-N1QMS-1230067</w:t>
            </w:r>
          </w:p>
          <w:p>
            <w:pPr>
              <w:jc w:val="center"/>
              <w:rPr>
                <w:sz w:val="20"/>
              </w:rPr>
            </w:pPr>
            <w:r>
              <w:rPr>
                <w:sz w:val="20"/>
              </w:rPr>
              <w:t>2018-N1EMS-1230067</w:t>
            </w:r>
          </w:p>
          <w:p>
            <w:pPr>
              <w:jc w:val="center"/>
              <w:rPr>
                <w:sz w:val="20"/>
              </w:rPr>
            </w:pPr>
            <w:r>
              <w:rPr>
                <w:sz w:val="20"/>
              </w:rPr>
              <w:t>2018-N1OHSMS-1230067</w:t>
            </w:r>
          </w:p>
        </w:tc>
        <w:tc>
          <w:tcPr>
            <w:tcW w:w="1559" w:type="dxa"/>
            <w:gridSpan w:val="5"/>
            <w:vAlign w:val="center"/>
          </w:tcPr>
          <w:p>
            <w:pPr>
              <w:jc w:val="center"/>
              <w:rPr>
                <w:sz w:val="20"/>
              </w:rPr>
            </w:pPr>
            <w:r>
              <w:rPr>
                <w:sz w:val="20"/>
              </w:rPr>
              <w:t>E:34.01.02</w:t>
            </w:r>
          </w:p>
          <w:p>
            <w:pPr>
              <w:jc w:val="center"/>
              <w:rPr>
                <w:sz w:val="20"/>
              </w:rPr>
            </w:pPr>
            <w:r>
              <w:rPr>
                <w:sz w:val="20"/>
              </w:rPr>
              <w:t>O:34.01.02</w:t>
            </w:r>
          </w:p>
        </w:tc>
        <w:tc>
          <w:tcPr>
            <w:tcW w:w="1324"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宋明珠</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p>
            <w:pPr>
              <w:jc w:val="center"/>
              <w:rPr>
                <w:sz w:val="20"/>
              </w:rPr>
            </w:pPr>
            <w:r>
              <w:rPr>
                <w:sz w:val="20"/>
              </w:rPr>
              <w:t>E:审核员</w:t>
            </w:r>
          </w:p>
        </w:tc>
        <w:tc>
          <w:tcPr>
            <w:tcW w:w="3402" w:type="dxa"/>
            <w:gridSpan w:val="5"/>
            <w:vAlign w:val="center"/>
          </w:tcPr>
          <w:p>
            <w:pPr>
              <w:jc w:val="center"/>
              <w:rPr>
                <w:sz w:val="20"/>
              </w:rPr>
            </w:pPr>
            <w:r>
              <w:rPr>
                <w:sz w:val="20"/>
              </w:rPr>
              <w:t>2020-N1QMS-1247783</w:t>
            </w:r>
          </w:p>
          <w:p>
            <w:pPr>
              <w:jc w:val="center"/>
              <w:rPr>
                <w:sz w:val="20"/>
              </w:rPr>
            </w:pPr>
            <w:r>
              <w:rPr>
                <w:sz w:val="20"/>
              </w:rPr>
              <w:t>2019-N1EMS-1247783</w:t>
            </w:r>
          </w:p>
        </w:tc>
        <w:tc>
          <w:tcPr>
            <w:tcW w:w="1559" w:type="dxa"/>
            <w:gridSpan w:val="5"/>
            <w:vAlign w:val="center"/>
          </w:tcPr>
          <w:p>
            <w:pPr>
              <w:jc w:val="center"/>
              <w:rPr>
                <w:sz w:val="20"/>
              </w:rPr>
            </w:pPr>
          </w:p>
        </w:tc>
        <w:tc>
          <w:tcPr>
            <w:tcW w:w="1324" w:type="dxa"/>
            <w:vAlign w:val="center"/>
          </w:tcPr>
          <w:p>
            <w:pPr>
              <w:jc w:val="center"/>
              <w:rPr>
                <w:sz w:val="20"/>
              </w:rPr>
            </w:pPr>
            <w:r>
              <w:rPr>
                <w:sz w:val="20"/>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陈伟</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p>
            <w:pPr>
              <w:jc w:val="center"/>
              <w:rPr>
                <w:sz w:val="20"/>
              </w:rPr>
            </w:pPr>
            <w:r>
              <w:rPr>
                <w:sz w:val="20"/>
              </w:rPr>
              <w:t>E:审核员</w:t>
            </w:r>
          </w:p>
        </w:tc>
        <w:tc>
          <w:tcPr>
            <w:tcW w:w="3402" w:type="dxa"/>
            <w:gridSpan w:val="5"/>
            <w:vAlign w:val="center"/>
          </w:tcPr>
          <w:p>
            <w:pPr>
              <w:jc w:val="center"/>
              <w:rPr>
                <w:sz w:val="20"/>
              </w:rPr>
            </w:pPr>
            <w:r>
              <w:rPr>
                <w:sz w:val="20"/>
              </w:rPr>
              <w:t>2020-N1QMS-1265256</w:t>
            </w:r>
          </w:p>
          <w:p>
            <w:pPr>
              <w:jc w:val="center"/>
              <w:rPr>
                <w:sz w:val="20"/>
              </w:rPr>
            </w:pPr>
            <w:r>
              <w:rPr>
                <w:sz w:val="20"/>
              </w:rPr>
              <w:t>2021-N1EMS-1265256</w:t>
            </w:r>
          </w:p>
        </w:tc>
        <w:tc>
          <w:tcPr>
            <w:tcW w:w="1559" w:type="dxa"/>
            <w:gridSpan w:val="5"/>
            <w:vAlign w:val="center"/>
          </w:tcPr>
          <w:p>
            <w:pPr>
              <w:jc w:val="center"/>
              <w:rPr>
                <w:sz w:val="20"/>
              </w:rPr>
            </w:pPr>
          </w:p>
        </w:tc>
        <w:tc>
          <w:tcPr>
            <w:tcW w:w="1324" w:type="dxa"/>
            <w:vAlign w:val="center"/>
          </w:tcPr>
          <w:p>
            <w:pPr>
              <w:jc w:val="center"/>
              <w:rPr>
                <w:sz w:val="20"/>
              </w:rPr>
            </w:pPr>
            <w:r>
              <w:rPr>
                <w:sz w:val="20"/>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李林</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p>
            <w:pPr>
              <w:jc w:val="center"/>
              <w:rPr>
                <w:sz w:val="20"/>
              </w:rPr>
            </w:pPr>
            <w:r>
              <w:rPr>
                <w:sz w:val="20"/>
              </w:rPr>
              <w:t>E:审核员</w:t>
            </w:r>
          </w:p>
        </w:tc>
        <w:tc>
          <w:tcPr>
            <w:tcW w:w="3402" w:type="dxa"/>
            <w:gridSpan w:val="5"/>
            <w:vAlign w:val="center"/>
          </w:tcPr>
          <w:p>
            <w:pPr>
              <w:jc w:val="center"/>
              <w:rPr>
                <w:sz w:val="20"/>
              </w:rPr>
            </w:pPr>
            <w:r>
              <w:rPr>
                <w:sz w:val="20"/>
              </w:rPr>
              <w:t>2019-N1QMS-1242345</w:t>
            </w:r>
          </w:p>
          <w:p>
            <w:pPr>
              <w:jc w:val="center"/>
              <w:rPr>
                <w:sz w:val="20"/>
              </w:rPr>
            </w:pPr>
            <w:r>
              <w:rPr>
                <w:sz w:val="20"/>
              </w:rPr>
              <w:t>2019-N1EMS-1242345</w:t>
            </w:r>
          </w:p>
        </w:tc>
        <w:tc>
          <w:tcPr>
            <w:tcW w:w="1559" w:type="dxa"/>
            <w:gridSpan w:val="5"/>
            <w:vAlign w:val="center"/>
          </w:tcPr>
          <w:p>
            <w:pPr>
              <w:jc w:val="center"/>
              <w:rPr>
                <w:sz w:val="20"/>
              </w:rPr>
            </w:pPr>
            <w:r>
              <w:rPr>
                <w:sz w:val="20"/>
              </w:rPr>
              <w:t>E:34.01.02</w:t>
            </w:r>
          </w:p>
        </w:tc>
        <w:tc>
          <w:tcPr>
            <w:tcW w:w="1324" w:type="dxa"/>
            <w:vAlign w:val="center"/>
          </w:tcPr>
          <w:p>
            <w:pPr>
              <w:jc w:val="center"/>
              <w:rPr>
                <w:sz w:val="20"/>
              </w:rPr>
            </w:pPr>
            <w:r>
              <w:rPr>
                <w:sz w:val="20"/>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95" w:type="dxa"/>
            <w:gridSpan w:val="2"/>
            <w:vAlign w:val="center"/>
          </w:tcPr>
          <w:p>
            <w:pPr>
              <w:rPr>
                <w:sz w:val="20"/>
              </w:rPr>
            </w:pPr>
          </w:p>
          <w:p>
            <w:pPr>
              <w:rPr>
                <w:sz w:val="20"/>
              </w:rPr>
            </w:pPr>
          </w:p>
        </w:tc>
        <w:tc>
          <w:tcPr>
            <w:tcW w:w="780" w:type="dxa"/>
            <w:gridSpan w:val="2"/>
            <w:vAlign w:val="center"/>
          </w:tcPr>
          <w:p>
            <w:pPr>
              <w:rPr>
                <w:sz w:val="20"/>
              </w:rPr>
            </w:pPr>
          </w:p>
        </w:tc>
        <w:tc>
          <w:tcPr>
            <w:tcW w:w="720" w:type="dxa"/>
            <w:vAlign w:val="center"/>
          </w:tcPr>
          <w:p>
            <w:pPr>
              <w:rPr>
                <w:sz w:val="20"/>
              </w:rPr>
            </w:pPr>
          </w:p>
        </w:tc>
        <w:tc>
          <w:tcPr>
            <w:tcW w:w="1141" w:type="dxa"/>
            <w:vAlign w:val="center"/>
          </w:tcPr>
          <w:p>
            <w:pPr>
              <w:rPr>
                <w:sz w:val="20"/>
              </w:rPr>
            </w:pPr>
          </w:p>
        </w:tc>
        <w:tc>
          <w:tcPr>
            <w:tcW w:w="3402" w:type="dxa"/>
            <w:gridSpan w:val="5"/>
            <w:vAlign w:val="center"/>
          </w:tcPr>
          <w:p>
            <w:pPr>
              <w:rPr>
                <w:sz w:val="20"/>
              </w:rPr>
            </w:pPr>
          </w:p>
        </w:tc>
        <w:tc>
          <w:tcPr>
            <w:tcW w:w="1559" w:type="dxa"/>
            <w:gridSpan w:val="5"/>
            <w:vAlign w:val="center"/>
          </w:tcPr>
          <w:p>
            <w:pPr>
              <w:rPr>
                <w:sz w:val="20"/>
              </w:rPr>
            </w:pPr>
          </w:p>
        </w:tc>
        <w:tc>
          <w:tcPr>
            <w:tcW w:w="1324"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01" w:type="dxa"/>
            <w:vAlign w:val="center"/>
          </w:tcPr>
          <w:p>
            <w:pPr>
              <w:rPr>
                <w:sz w:val="20"/>
              </w:rPr>
            </w:pPr>
            <w:r>
              <w:rPr>
                <w:rFonts w:hint="eastAsia"/>
                <w:sz w:val="20"/>
              </w:rPr>
              <w:t>审核组长</w:t>
            </w:r>
          </w:p>
        </w:tc>
        <w:tc>
          <w:tcPr>
            <w:tcW w:w="2977" w:type="dxa"/>
            <w:gridSpan w:val="6"/>
            <w:vAlign w:val="center"/>
          </w:tcPr>
          <w:p>
            <w:pPr>
              <w:rPr>
                <w:sz w:val="20"/>
              </w:rPr>
            </w:pPr>
            <w:r>
              <w:rPr>
                <w:rFonts w:hint="eastAsia"/>
                <w:b/>
                <w:sz w:val="22"/>
                <w:szCs w:val="22"/>
              </w:rPr>
              <w:drawing>
                <wp:anchor distT="0" distB="0" distL="114300" distR="114300" simplePos="0" relativeHeight="251662336" behindDoc="0" locked="0" layoutInCell="1" allowOverlap="1">
                  <wp:simplePos x="0" y="0"/>
                  <wp:positionH relativeFrom="column">
                    <wp:posOffset>443865</wp:posOffset>
                  </wp:positionH>
                  <wp:positionV relativeFrom="paragraph">
                    <wp:posOffset>6985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rPr>
                <w:sz w:val="20"/>
              </w:rPr>
            </w:pPr>
          </w:p>
          <w:p>
            <w:pPr>
              <w:rPr>
                <w:rFonts w:hint="default" w:eastAsia="宋体"/>
                <w:sz w:val="20"/>
                <w:lang w:val="en-US" w:eastAsia="zh-CN"/>
              </w:rPr>
            </w:pPr>
            <w:r>
              <w:rPr>
                <w:rFonts w:hint="eastAsia"/>
                <w:sz w:val="20"/>
                <w:lang w:val="en-US" w:eastAsia="zh-CN"/>
              </w:rPr>
              <w:t>13983696917</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rFonts w:hint="default" w:eastAsia="宋体"/>
                <w:sz w:val="20"/>
                <w:lang w:val="en-US" w:eastAsia="zh-CN"/>
              </w:rPr>
            </w:pPr>
            <w:r>
              <w:rPr>
                <w:rFonts w:hint="eastAsia"/>
                <w:sz w:val="20"/>
                <w:lang w:val="en-US" w:eastAsia="zh-CN"/>
              </w:rPr>
              <w:t>2021.6.8</w:t>
            </w:r>
          </w:p>
        </w:tc>
        <w:tc>
          <w:tcPr>
            <w:tcW w:w="2126" w:type="dxa"/>
            <w:gridSpan w:val="3"/>
            <w:vAlign w:val="center"/>
          </w:tcPr>
          <w:p>
            <w:pPr>
              <w:rPr>
                <w:sz w:val="20"/>
              </w:rPr>
            </w:pPr>
            <w:r>
              <w:rPr>
                <w:rFonts w:hint="eastAsia"/>
                <w:sz w:val="20"/>
              </w:rPr>
              <w:t>日期</w:t>
            </w:r>
          </w:p>
        </w:tc>
        <w:tc>
          <w:tcPr>
            <w:tcW w:w="4017" w:type="dxa"/>
            <w:gridSpan w:val="7"/>
            <w:vAlign w:val="center"/>
          </w:tcPr>
          <w:p/>
        </w:tc>
      </w:tr>
    </w:tbl>
    <w:p>
      <w:pPr>
        <w:spacing w:line="300" w:lineRule="exact"/>
        <w:rPr>
          <w:rFonts w:hint="eastAsia" w:ascii="宋体" w:hAnsi="宋体" w:eastAsia="宋体"/>
          <w:b/>
          <w:sz w:val="18"/>
          <w:szCs w:val="18"/>
          <w:lang w:val="en-US" w:eastAsia="zh-CN"/>
        </w:rPr>
      </w:pPr>
      <w:r>
        <w:rPr>
          <w:rFonts w:hint="eastAsia" w:ascii="宋体" w:hAnsi="宋体"/>
          <w:b/>
          <w:sz w:val="18"/>
          <w:szCs w:val="18"/>
          <w:lang w:val="en-US" w:eastAsia="zh-CN"/>
        </w:rPr>
        <w:t>附表：</w:t>
      </w:r>
    </w:p>
    <w:tbl>
      <w:tblPr>
        <w:tblStyle w:val="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38"/>
        <w:gridCol w:w="862"/>
        <w:gridCol w:w="615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80" w:type="dxa"/>
            <w:gridSpan w:val="5"/>
            <w:tcBorders>
              <w:top w:val="single" w:color="auto" w:sz="8" w:space="0"/>
              <w:left w:val="single" w:color="auto" w:sz="8" w:space="0"/>
              <w:bottom w:val="nil"/>
              <w:right w:val="single" w:color="auto" w:sz="8" w:space="0"/>
            </w:tcBorders>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59" w:type="dxa"/>
            <w:tcBorders>
              <w:left w:val="single" w:color="auto" w:sz="8" w:space="0"/>
            </w:tcBorders>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738" w:type="dxa"/>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862" w:type="dxa"/>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156" w:type="dxa"/>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59" w:type="dxa"/>
            <w:vMerge w:val="restart"/>
            <w:tcBorders>
              <w:left w:val="single" w:color="auto" w:sz="8" w:space="0"/>
            </w:tcBorders>
            <w:noWrap/>
            <w:vAlign w:val="center"/>
          </w:tcPr>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6</w:t>
            </w:r>
          </w:p>
          <w:p>
            <w:pPr>
              <w:snapToGrid w:val="0"/>
              <w:spacing w:line="320" w:lineRule="exact"/>
              <w:jc w:val="center"/>
              <w:rPr>
                <w:rFonts w:hint="eastAsia" w:ascii="宋体" w:hAnsi="宋体"/>
                <w:b/>
                <w:bCs/>
                <w:sz w:val="21"/>
                <w:szCs w:val="21"/>
              </w:rPr>
            </w:pPr>
            <w:r>
              <w:rPr>
                <w:rFonts w:hint="eastAsia" w:ascii="宋体" w:hAnsi="宋体"/>
                <w:b/>
                <w:bCs/>
                <w:sz w:val="21"/>
                <w:szCs w:val="21"/>
              </w:rPr>
              <w:t>月</w:t>
            </w:r>
          </w:p>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8</w:t>
            </w:r>
          </w:p>
          <w:p>
            <w:pPr>
              <w:snapToGrid w:val="0"/>
              <w:spacing w:line="320" w:lineRule="exact"/>
              <w:jc w:val="center"/>
              <w:rPr>
                <w:rFonts w:ascii="宋体" w:hAnsi="宋体"/>
                <w:b/>
                <w:bCs/>
                <w:sz w:val="21"/>
                <w:szCs w:val="21"/>
              </w:rPr>
            </w:pPr>
            <w:r>
              <w:rPr>
                <w:rFonts w:hint="eastAsia" w:ascii="宋体" w:hAnsi="宋体"/>
                <w:b/>
                <w:bCs/>
                <w:sz w:val="21"/>
                <w:szCs w:val="21"/>
              </w:rPr>
              <w:t>日</w:t>
            </w:r>
          </w:p>
        </w:tc>
        <w:tc>
          <w:tcPr>
            <w:tcW w:w="1738" w:type="dxa"/>
            <w:noWrap/>
            <w:vAlign w:val="center"/>
          </w:tcPr>
          <w:p>
            <w:pPr>
              <w:snapToGrid w:val="0"/>
              <w:spacing w:line="280" w:lineRule="exact"/>
              <w:jc w:val="center"/>
              <w:rPr>
                <w:rFonts w:ascii="宋体" w:hAnsi="宋体"/>
                <w:b/>
                <w:bCs/>
                <w:sz w:val="21"/>
                <w:szCs w:val="21"/>
              </w:rPr>
            </w:pPr>
            <w:r>
              <w:rPr>
                <w:rFonts w:hint="eastAsia" w:ascii="宋体" w:hAnsi="宋体"/>
                <w:b/>
                <w:bCs/>
                <w:sz w:val="21"/>
                <w:szCs w:val="21"/>
              </w:rPr>
              <w:t>8:00-8:30</w:t>
            </w:r>
          </w:p>
        </w:tc>
        <w:tc>
          <w:tcPr>
            <w:tcW w:w="7018" w:type="dxa"/>
            <w:gridSpan w:val="2"/>
            <w:noWrap/>
            <w:vAlign w:val="center"/>
          </w:tcPr>
          <w:p>
            <w:pPr>
              <w:rPr>
                <w:rFonts w:ascii="宋体" w:hAnsi="宋体"/>
                <w:sz w:val="18"/>
              </w:rPr>
            </w:pPr>
            <w:r>
              <w:rPr>
                <w:rFonts w:hint="eastAsia" w:ascii="宋体" w:hAnsi="宋体"/>
                <w:b/>
                <w:bCs/>
                <w:sz w:val="21"/>
                <w:szCs w:val="21"/>
              </w:rPr>
              <w:t>首次会议</w:t>
            </w:r>
          </w:p>
        </w:tc>
        <w:tc>
          <w:tcPr>
            <w:tcW w:w="1065" w:type="dxa"/>
            <w:tcBorders>
              <w:right w:val="single" w:color="auto" w:sz="8" w:space="0"/>
            </w:tcBorders>
            <w:noWrap/>
            <w:vAlign w:val="center"/>
          </w:tcPr>
          <w:p>
            <w:pPr>
              <w:snapToGrid w:val="0"/>
              <w:spacing w:line="28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文平、李林、杨珍全、宋明珠、陈伟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9" w:hRule="atLeast"/>
          <w:jc w:val="center"/>
        </w:trPr>
        <w:tc>
          <w:tcPr>
            <w:tcW w:w="559" w:type="dxa"/>
            <w:vMerge w:val="continue"/>
            <w:tcBorders>
              <w:left w:val="single" w:color="auto" w:sz="8" w:space="0"/>
            </w:tcBorders>
            <w:noWrap/>
            <w:vAlign w:val="center"/>
          </w:tcPr>
          <w:p>
            <w:pPr>
              <w:snapToGrid w:val="0"/>
              <w:spacing w:line="320" w:lineRule="exact"/>
              <w:jc w:val="center"/>
              <w:rPr>
                <w:rFonts w:ascii="宋体" w:hAnsi="宋体"/>
                <w:b/>
                <w:bCs/>
                <w:sz w:val="21"/>
                <w:szCs w:val="21"/>
              </w:rPr>
            </w:pPr>
          </w:p>
        </w:tc>
        <w:tc>
          <w:tcPr>
            <w:tcW w:w="1738" w:type="dxa"/>
            <w:vMerge w:val="restart"/>
            <w:noWrap/>
            <w:vAlign w:val="center"/>
          </w:tcPr>
          <w:p>
            <w:pPr>
              <w:snapToGrid w:val="0"/>
              <w:spacing w:line="320" w:lineRule="exact"/>
              <w:jc w:val="center"/>
              <w:rPr>
                <w:rFonts w:ascii="宋体" w:hAnsi="宋体"/>
                <w:b/>
                <w:bCs/>
                <w:sz w:val="21"/>
                <w:szCs w:val="21"/>
              </w:rPr>
            </w:pPr>
            <w:r>
              <w:rPr>
                <w:rFonts w:hint="eastAsia" w:ascii="宋体" w:hAnsi="宋体"/>
                <w:b/>
                <w:bCs/>
                <w:sz w:val="21"/>
                <w:szCs w:val="21"/>
              </w:rPr>
              <w:t>8:30-16:00</w:t>
            </w:r>
          </w:p>
          <w:p>
            <w:pPr>
              <w:snapToGrid w:val="0"/>
              <w:spacing w:line="320" w:lineRule="exact"/>
              <w:jc w:val="center"/>
              <w:rPr>
                <w:rFonts w:ascii="宋体" w:hAnsi="宋体"/>
                <w:b/>
                <w:bCs/>
                <w:sz w:val="21"/>
                <w:szCs w:val="21"/>
              </w:rPr>
            </w:pPr>
            <w:r>
              <w:rPr>
                <w:rFonts w:hint="eastAsia" w:ascii="宋体" w:hAnsi="宋体"/>
                <w:b/>
                <w:bCs/>
                <w:sz w:val="21"/>
                <w:szCs w:val="21"/>
                <w:lang w:val="en-US" w:eastAsia="zh-CN"/>
              </w:rPr>
              <w:t>休息</w:t>
            </w:r>
            <w:r>
              <w:rPr>
                <w:rFonts w:hint="eastAsia" w:ascii="宋体" w:hAnsi="宋体"/>
                <w:b/>
                <w:bCs/>
                <w:sz w:val="21"/>
                <w:szCs w:val="21"/>
              </w:rPr>
              <w:t>时间（12:00-13:00）</w:t>
            </w:r>
          </w:p>
        </w:tc>
        <w:tc>
          <w:tcPr>
            <w:tcW w:w="862" w:type="dxa"/>
            <w:noWrap/>
          </w:tcPr>
          <w:p>
            <w:pPr>
              <w:spacing w:line="300" w:lineRule="exact"/>
              <w:rPr>
                <w:rFonts w:ascii="宋体" w:hAnsi="宋体"/>
                <w:b/>
                <w:bCs/>
                <w:sz w:val="21"/>
                <w:szCs w:val="21"/>
              </w:rPr>
            </w:pPr>
            <w:r>
              <w:rPr>
                <w:rFonts w:hint="eastAsia" w:ascii="宋体" w:hAnsi="宋体" w:cs="新宋体"/>
                <w:sz w:val="21"/>
                <w:szCs w:val="21"/>
                <w:lang w:eastAsia="zh-CN"/>
              </w:rPr>
              <w:t>管理层</w:t>
            </w:r>
          </w:p>
        </w:tc>
        <w:tc>
          <w:tcPr>
            <w:tcW w:w="6156" w:type="dxa"/>
            <w:noWrap/>
          </w:tcPr>
          <w:p>
            <w:pPr>
              <w:snapToGrid w:val="0"/>
              <w:spacing w:line="240" w:lineRule="exact"/>
              <w:rPr>
                <w:rFonts w:hint="eastAsia" w:ascii="宋体" w:hAnsi="宋体" w:eastAsia="宋体" w:cs="新宋体"/>
                <w:sz w:val="18"/>
                <w:szCs w:val="18"/>
                <w:lang w:val="en-US" w:eastAsia="zh-CN"/>
              </w:rPr>
            </w:pPr>
            <w:r>
              <w:rPr>
                <w:rFonts w:hint="eastAsia" w:ascii="宋体" w:hAnsi="宋体" w:cs="新宋体"/>
                <w:sz w:val="18"/>
                <w:szCs w:val="18"/>
              </w:rPr>
              <w:t>QMS-2015:</w:t>
            </w:r>
            <w:r>
              <w:rPr>
                <w:rFonts w:hint="eastAsia" w:ascii="宋体" w:hAnsi="宋体" w:cs="新宋体"/>
                <w:sz w:val="18"/>
                <w:szCs w:val="18"/>
                <w:lang w:val="en-US" w:eastAsia="zh-CN"/>
              </w:rPr>
              <w:t xml:space="preserve"> 陈伟</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Pr>
                <w:rFonts w:ascii="宋体" w:hAnsi="宋体" w:cs="新宋体"/>
                <w:sz w:val="18"/>
                <w:szCs w:val="18"/>
              </w:rPr>
              <w:t xml:space="preserve"> 9.1.3分析和评价</w:t>
            </w:r>
            <w:r>
              <w:rPr>
                <w:rFonts w:hint="eastAsia" w:ascii="宋体" w:hAnsi="宋体" w:cs="新宋体"/>
                <w:sz w:val="18"/>
                <w:szCs w:val="18"/>
              </w:rPr>
              <w:t>；9.2内部审核；9.3管理评审；10.1改进 总则；10.2不合格和纠正措施10.3持续改进。</w:t>
            </w:r>
          </w:p>
          <w:p>
            <w:pPr>
              <w:snapToGrid w:val="0"/>
              <w:spacing w:line="240" w:lineRule="exact"/>
              <w:rPr>
                <w:rFonts w:hint="eastAsia" w:ascii="宋体" w:hAnsi="宋体" w:cs="新宋体"/>
                <w:sz w:val="18"/>
                <w:szCs w:val="18"/>
              </w:rPr>
            </w:pPr>
          </w:p>
          <w:p>
            <w:pPr>
              <w:rPr>
                <w:rFonts w:hint="eastAsia"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21"/>
                <w:szCs w:val="21"/>
              </w:rPr>
              <w:t>;</w:t>
            </w:r>
            <w:r>
              <w:rPr>
                <w:rFonts w:hint="eastAsia" w:ascii="宋体" w:hAnsi="宋体" w:cs="新宋体"/>
                <w:sz w:val="18"/>
                <w:szCs w:val="18"/>
                <w:lang w:val="en-US" w:eastAsia="zh-CN"/>
              </w:rPr>
              <w:t>陈伟</w:t>
            </w:r>
          </w:p>
          <w:p>
            <w:pPr>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rFonts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lang w:eastAsia="zh-CN"/>
              </w:rPr>
              <w:t>ISO45001：2018</w:t>
            </w:r>
            <w:r>
              <w:rPr>
                <w:rFonts w:hint="eastAsia" w:ascii="宋体" w:hAnsi="宋体" w:cs="新宋体"/>
                <w:sz w:val="18"/>
                <w:szCs w:val="18"/>
              </w:rPr>
              <w:t>：</w:t>
            </w:r>
            <w:r>
              <w:rPr>
                <w:rFonts w:hint="eastAsia" w:ascii="宋体" w:hAnsi="宋体" w:cs="新宋体"/>
                <w:sz w:val="18"/>
                <w:szCs w:val="18"/>
                <w:lang w:val="en-US" w:eastAsia="zh-CN"/>
              </w:rPr>
              <w:t>杨珍全</w:t>
            </w:r>
          </w:p>
          <w:p>
            <w:pPr>
              <w:rPr>
                <w:rFonts w:hint="default" w:ascii="宋体" w:hAnsi="宋体" w:eastAsia="宋体" w:cs="新宋体"/>
                <w:sz w:val="18"/>
                <w:szCs w:val="18"/>
                <w:lang w:val="en-US" w:eastAsia="zh-CN"/>
              </w:rPr>
            </w:pPr>
            <w:r>
              <w:rPr>
                <w:rFonts w:hint="eastAsia" w:ascii="宋体" w:hAnsi="宋体" w:cs="新宋体"/>
                <w:sz w:val="18"/>
                <w:szCs w:val="18"/>
              </w:rPr>
              <w:t xml:space="preserve"> </w:t>
            </w:r>
            <w:r>
              <w:rPr>
                <w:rFonts w:hint="eastAsia" w:ascii="宋体" w:hAnsi="宋体" w:cs="新宋体"/>
                <w:color w:val="auto"/>
                <w:sz w:val="18"/>
                <w:szCs w:val="18"/>
              </w:rPr>
              <w:t>4.1组织及其环境;4. 2相关方需求与期望;4.3确定体系范围;4.4体系;5.1领导作用与承诺;5.2方针;5.3组织的角色、职责和权限；6.1应对风险和机遇的措施6.1.4措施的策划；6.2目标及其实现的策划；7.1资源；7.4信息和沟通；7.5.1文件化信息总则；9.1监视、测量、分析与评估；9.2内部审核；9.3管理评审；10.1事件、不符合和纠正措施；10.3持续改进。范围的确认、资质的确认、法律法规执行情况、质量抽查及顾客投诉情况</w:t>
            </w:r>
            <w:r>
              <w:rPr>
                <w:rFonts w:hint="eastAsia" w:ascii="宋体" w:hAnsi="宋体" w:cs="新宋体"/>
                <w:sz w:val="18"/>
                <w:szCs w:val="18"/>
                <w:lang w:eastAsia="zh-CN"/>
              </w:rPr>
              <w:t>、</w:t>
            </w:r>
            <w:r>
              <w:rPr>
                <w:rFonts w:hint="eastAsia" w:ascii="宋体" w:hAnsi="宋体" w:cs="新宋体"/>
                <w:sz w:val="18"/>
                <w:szCs w:val="18"/>
                <w:lang w:val="en-US" w:eastAsia="zh-CN"/>
              </w:rPr>
              <w:t>证书使用情况、上一年审核不符合验证</w:t>
            </w:r>
          </w:p>
        </w:tc>
        <w:tc>
          <w:tcPr>
            <w:tcW w:w="1065" w:type="dxa"/>
            <w:tcBorders>
              <w:right w:val="single" w:color="auto" w:sz="8" w:space="0"/>
            </w:tcBorders>
            <w:noWra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陈伟、杨珍全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jc w:val="center"/>
        </w:trPr>
        <w:tc>
          <w:tcPr>
            <w:tcW w:w="559" w:type="dxa"/>
            <w:vMerge w:val="continue"/>
            <w:tcBorders>
              <w:left w:val="single" w:color="auto" w:sz="8" w:space="0"/>
            </w:tcBorders>
            <w:noWrap/>
          </w:tcPr>
          <w:p>
            <w:pPr>
              <w:snapToGrid w:val="0"/>
              <w:spacing w:line="320" w:lineRule="exact"/>
              <w:rPr>
                <w:rFonts w:ascii="宋体" w:hAnsi="宋体"/>
                <w:b/>
                <w:bCs/>
                <w:sz w:val="21"/>
                <w:szCs w:val="21"/>
              </w:rPr>
            </w:pPr>
          </w:p>
        </w:tc>
        <w:tc>
          <w:tcPr>
            <w:tcW w:w="1738" w:type="dxa"/>
            <w:vMerge w:val="continue"/>
            <w:noWrap/>
          </w:tcPr>
          <w:p>
            <w:pPr>
              <w:snapToGrid w:val="0"/>
              <w:spacing w:line="320" w:lineRule="exact"/>
              <w:rPr>
                <w:rFonts w:ascii="宋体" w:hAnsi="宋体"/>
                <w:b/>
                <w:bCs/>
                <w:sz w:val="21"/>
                <w:szCs w:val="21"/>
              </w:rPr>
            </w:pPr>
          </w:p>
        </w:tc>
        <w:tc>
          <w:tcPr>
            <w:tcW w:w="862" w:type="dxa"/>
            <w:noWrap/>
          </w:tcPr>
          <w:p>
            <w:pPr>
              <w:spacing w:line="300" w:lineRule="exact"/>
              <w:rPr>
                <w:rFonts w:hint="eastAsia" w:ascii="宋体" w:hAnsi="宋体" w:cs="新宋体"/>
                <w:sz w:val="21"/>
                <w:szCs w:val="21"/>
              </w:rPr>
            </w:pPr>
            <w:r>
              <w:rPr>
                <w:rFonts w:hint="eastAsia" w:ascii="宋体" w:hAnsi="宋体" w:cs="新宋体"/>
                <w:sz w:val="21"/>
                <w:szCs w:val="21"/>
                <w:lang w:eastAsia="zh-CN"/>
              </w:rPr>
              <w:t>综合管理部</w:t>
            </w:r>
            <w:r>
              <w:rPr>
                <w:rFonts w:hint="eastAsia" w:ascii="宋体" w:hAnsi="宋体" w:cs="新宋体"/>
                <w:sz w:val="21"/>
                <w:szCs w:val="21"/>
              </w:rPr>
              <w:t>（含财务）</w:t>
            </w:r>
          </w:p>
          <w:p>
            <w:pPr>
              <w:spacing w:line="300" w:lineRule="exact"/>
              <w:rPr>
                <w:rFonts w:hint="eastAsia" w:ascii="宋体" w:hAnsi="宋体" w:cs="新宋体"/>
                <w:sz w:val="21"/>
                <w:szCs w:val="21"/>
              </w:rPr>
            </w:pPr>
            <w:r>
              <w:rPr>
                <w:rFonts w:hint="eastAsia" w:ascii="宋体" w:hAnsi="宋体" w:cs="新宋体"/>
                <w:sz w:val="21"/>
                <w:szCs w:val="21"/>
                <w:lang w:eastAsia="zh-CN"/>
              </w:rPr>
              <w:t>（</w:t>
            </w:r>
            <w:r>
              <w:rPr>
                <w:rFonts w:hint="eastAsia" w:ascii="宋体" w:hAnsi="宋体" w:cs="新宋体"/>
                <w:color w:val="FF0000"/>
                <w:sz w:val="21"/>
                <w:szCs w:val="21"/>
                <w:lang w:val="en-US" w:eastAsia="zh-CN"/>
              </w:rPr>
              <w:t>上次不符合验证</w:t>
            </w:r>
            <w:r>
              <w:rPr>
                <w:rFonts w:hint="eastAsia" w:ascii="宋体" w:hAnsi="宋体" w:cs="新宋体"/>
                <w:sz w:val="21"/>
                <w:szCs w:val="21"/>
                <w:lang w:eastAsia="zh-CN"/>
              </w:rPr>
              <w:t>）</w:t>
            </w:r>
          </w:p>
        </w:tc>
        <w:tc>
          <w:tcPr>
            <w:tcW w:w="6156" w:type="dxa"/>
            <w:noWrap/>
          </w:tcPr>
          <w:p>
            <w:pPr>
              <w:snapToGrid w:val="0"/>
              <w:spacing w:line="240" w:lineRule="exact"/>
              <w:rPr>
                <w:rFonts w:hint="eastAsia" w:ascii="宋体" w:hAnsi="宋体" w:eastAsia="宋体" w:cs="新宋体"/>
                <w:sz w:val="18"/>
                <w:szCs w:val="18"/>
                <w:lang w:val="en-US" w:eastAsia="zh-CN"/>
              </w:rPr>
            </w:pPr>
            <w:r>
              <w:rPr>
                <w:rFonts w:hint="eastAsia" w:ascii="宋体" w:hAnsi="宋体" w:cs="新宋体"/>
                <w:sz w:val="18"/>
                <w:szCs w:val="18"/>
              </w:rPr>
              <w:t>QMS-2015:</w:t>
            </w:r>
            <w:r>
              <w:rPr>
                <w:rFonts w:hint="eastAsia" w:ascii="宋体" w:hAnsi="宋体" w:cs="新宋体"/>
                <w:sz w:val="18"/>
                <w:szCs w:val="18"/>
                <w:lang w:val="en-US" w:eastAsia="zh-CN"/>
              </w:rPr>
              <w:t>宋明珠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5.3组织的角色、职责和权限；6.2质量目标及其实现的策划;7.1.2人员；7.2能力；7.3意识；7.4沟通；7.5文件化信息； 10.2不符合和纠正措施；</w:t>
            </w:r>
          </w:p>
          <w:p>
            <w:pPr>
              <w:rPr>
                <w:rFonts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李林</w:t>
            </w:r>
          </w:p>
          <w:p>
            <w:pPr>
              <w:rPr>
                <w:rFonts w:ascii="宋体" w:hAnsi="宋体" w:cs="新宋体"/>
                <w:sz w:val="18"/>
                <w:szCs w:val="18"/>
              </w:rPr>
            </w:pPr>
            <w:r>
              <w:rPr>
                <w:rFonts w:hint="eastAsia" w:ascii="宋体" w:hAnsi="宋体" w:cs="新宋体"/>
                <w:sz w:val="18"/>
                <w:szCs w:val="18"/>
              </w:rPr>
              <w:t>5.3组织的角色、职责和权限；6.2目标及其实现的策划；6.1.2环境因素；6.1.3合规义务；6.2目标及其达成的策划；7.2能力；7.3意识；7.4信息和沟通；7.5文件化信息；8.1运行策划和控制；8.2应急准备和响应；9.1监视、测量、分析与评估；</w:t>
            </w:r>
            <w:r>
              <w:rPr>
                <w:rFonts w:hint="eastAsia" w:ascii="宋体" w:hAnsi="宋体" w:cs="新宋体"/>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sz w:val="18"/>
                <w:szCs w:val="18"/>
                <w:lang w:eastAsia="zh-CN"/>
              </w:rPr>
              <w:t>）</w:t>
            </w:r>
            <w:r>
              <w:rPr>
                <w:rFonts w:hint="eastAsia" w:ascii="宋体" w:hAnsi="宋体" w:cs="新宋体"/>
                <w:sz w:val="18"/>
                <w:szCs w:val="18"/>
              </w:rPr>
              <w:t>9.1.2符合性评估；10.2不符合和纠正措施；10.3持续改进/EMS运行控制相关财务支出证据</w:t>
            </w:r>
          </w:p>
          <w:p>
            <w:pPr>
              <w:rPr>
                <w:rFonts w:ascii="宋体" w:hAnsi="宋体" w:cs="新宋体"/>
                <w:sz w:val="18"/>
                <w:szCs w:val="18"/>
              </w:rPr>
            </w:pPr>
          </w:p>
          <w:p>
            <w:pPr>
              <w:spacing w:line="300" w:lineRule="exact"/>
              <w:rPr>
                <w:rFonts w:hint="eastAsia" w:ascii="宋体" w:hAnsi="宋体" w:eastAsia="宋体" w:cs="新宋体"/>
                <w:sz w:val="18"/>
                <w:szCs w:val="18"/>
                <w:lang w:val="en-US" w:eastAsia="zh-CN"/>
              </w:rPr>
            </w:pPr>
            <w:r>
              <w:rPr>
                <w:rFonts w:hint="eastAsia" w:ascii="宋体" w:hAnsi="宋体" w:cs="新宋体"/>
                <w:sz w:val="18"/>
                <w:szCs w:val="18"/>
                <w:lang w:eastAsia="zh-CN"/>
              </w:rPr>
              <w:t>ISO45001：2018</w:t>
            </w:r>
            <w:r>
              <w:rPr>
                <w:rFonts w:hint="eastAsia" w:ascii="宋体" w:hAnsi="宋体" w:cs="新宋体"/>
                <w:sz w:val="18"/>
                <w:szCs w:val="18"/>
              </w:rPr>
              <w:t>：</w:t>
            </w:r>
            <w:r>
              <w:rPr>
                <w:rFonts w:hint="eastAsia" w:ascii="宋体" w:hAnsi="宋体" w:cs="新宋体"/>
                <w:sz w:val="18"/>
                <w:szCs w:val="18"/>
                <w:lang w:val="en-US" w:eastAsia="zh-CN"/>
              </w:rPr>
              <w:t>文平</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spacing w:line="300" w:lineRule="exact"/>
              <w:rPr>
                <w:rFonts w:ascii="宋体" w:hAnsi="宋体" w:cs="新宋体"/>
                <w:sz w:val="18"/>
                <w:szCs w:val="18"/>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color="auto" w:sz="8" w:space="0"/>
            </w:tcBorders>
            <w:noWra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宋明珠、李林、文平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559" w:type="dxa"/>
            <w:vMerge w:val="continue"/>
            <w:tcBorders>
              <w:left w:val="single" w:color="auto" w:sz="8" w:space="0"/>
            </w:tcBorders>
            <w:noWrap/>
            <w:vAlign w:val="center"/>
          </w:tcPr>
          <w:p>
            <w:pPr>
              <w:snapToGrid w:val="0"/>
              <w:spacing w:line="280" w:lineRule="exact"/>
              <w:jc w:val="center"/>
              <w:rPr>
                <w:rFonts w:ascii="宋体" w:hAnsi="宋体"/>
                <w:b/>
                <w:bCs/>
                <w:sz w:val="21"/>
                <w:szCs w:val="21"/>
              </w:rPr>
            </w:pPr>
          </w:p>
        </w:tc>
        <w:tc>
          <w:tcPr>
            <w:tcW w:w="1738" w:type="dxa"/>
            <w:vMerge w:val="continue"/>
            <w:noWrap/>
          </w:tcPr>
          <w:p>
            <w:pPr>
              <w:snapToGrid w:val="0"/>
              <w:spacing w:line="320" w:lineRule="exact"/>
              <w:rPr>
                <w:rFonts w:ascii="宋体" w:hAnsi="宋体"/>
                <w:b/>
                <w:bCs/>
                <w:sz w:val="21"/>
                <w:szCs w:val="21"/>
              </w:rPr>
            </w:pPr>
          </w:p>
        </w:tc>
        <w:tc>
          <w:tcPr>
            <w:tcW w:w="862" w:type="dxa"/>
            <w:noWrap/>
          </w:tcPr>
          <w:p>
            <w:pPr>
              <w:spacing w:line="300" w:lineRule="exact"/>
              <w:rPr>
                <w:rFonts w:ascii="宋体" w:hAnsi="宋体" w:cs="新宋体"/>
                <w:sz w:val="21"/>
                <w:szCs w:val="21"/>
              </w:rPr>
            </w:pPr>
            <w:r>
              <w:rPr>
                <w:rFonts w:hint="eastAsia" w:ascii="宋体" w:hAnsi="宋体" w:cs="新宋体"/>
                <w:sz w:val="21"/>
                <w:szCs w:val="21"/>
              </w:rPr>
              <w:t>市场部</w:t>
            </w:r>
          </w:p>
        </w:tc>
        <w:tc>
          <w:tcPr>
            <w:tcW w:w="6156" w:type="dxa"/>
            <w:noWrap/>
          </w:tcPr>
          <w:p>
            <w:pPr>
              <w:rPr>
                <w:rFonts w:hint="eastAsia" w:ascii="宋体" w:hAnsi="宋体" w:eastAsia="宋体" w:cs="新宋体"/>
                <w:sz w:val="18"/>
                <w:szCs w:val="18"/>
                <w:highlight w:val="none"/>
                <w:lang w:val="en-US" w:eastAsia="zh-CN"/>
              </w:rPr>
            </w:pPr>
            <w:r>
              <w:rPr>
                <w:rFonts w:hint="eastAsia" w:ascii="宋体" w:hAnsi="宋体" w:cs="新宋体"/>
                <w:sz w:val="18"/>
                <w:szCs w:val="18"/>
                <w:highlight w:val="none"/>
              </w:rPr>
              <w:t>QMS-2015：</w:t>
            </w:r>
            <w:r>
              <w:rPr>
                <w:rFonts w:hint="eastAsia" w:ascii="宋体" w:hAnsi="宋体" w:cs="新宋体"/>
                <w:sz w:val="18"/>
                <w:szCs w:val="18"/>
                <w:highlight w:val="none"/>
                <w:lang w:val="en-US" w:eastAsia="zh-CN"/>
              </w:rPr>
              <w:t>宋明珠</w:t>
            </w:r>
          </w:p>
          <w:p>
            <w:pPr>
              <w:rPr>
                <w:rFonts w:hint="eastAsia" w:ascii="宋体" w:hAnsi="宋体" w:cs="新宋体"/>
                <w:sz w:val="18"/>
                <w:szCs w:val="18"/>
                <w:highlight w:val="none"/>
              </w:rPr>
            </w:pPr>
            <w:r>
              <w:rPr>
                <w:rFonts w:hint="eastAsia" w:ascii="宋体" w:hAnsi="宋体" w:cs="新宋体"/>
                <w:sz w:val="18"/>
                <w:szCs w:val="18"/>
                <w:highlight w:val="none"/>
              </w:rPr>
              <w:t>5.3组织的角色、职责和权限；6.2目标及其实现的策划；8.2产品和服务的要求；</w:t>
            </w:r>
            <w:bookmarkStart w:id="18" w:name="_GoBack"/>
            <w:bookmarkEnd w:id="18"/>
            <w:r>
              <w:rPr>
                <w:rFonts w:hint="eastAsia" w:ascii="宋体" w:hAnsi="宋体" w:cs="新宋体"/>
                <w:sz w:val="18"/>
                <w:szCs w:val="18"/>
                <w:highlight w:val="none"/>
              </w:rPr>
              <w:t>9.1.2顾客满意</w:t>
            </w:r>
          </w:p>
          <w:p>
            <w:pPr>
              <w:rPr>
                <w:rFonts w:hint="eastAsia" w:ascii="宋体" w:hAnsi="宋体" w:cs="新宋体"/>
                <w:sz w:val="18"/>
                <w:szCs w:val="18"/>
                <w:highlight w:val="none"/>
              </w:rPr>
            </w:pPr>
          </w:p>
          <w:p>
            <w:pPr>
              <w:rPr>
                <w:rFonts w:hint="eastAsia" w:ascii="宋体" w:hAnsi="宋体" w:eastAsia="宋体" w:cs="新宋体"/>
                <w:sz w:val="18"/>
                <w:szCs w:val="18"/>
                <w:highlight w:val="none"/>
                <w:lang w:val="en-US" w:eastAsia="zh-CN"/>
              </w:rPr>
            </w:pPr>
            <w:r>
              <w:rPr>
                <w:rFonts w:hint="eastAsia" w:ascii="宋体" w:hAnsi="宋体" w:cs="新宋体"/>
                <w:sz w:val="18"/>
                <w:szCs w:val="18"/>
                <w:highlight w:val="none"/>
              </w:rPr>
              <w:t>EMS-2015:</w:t>
            </w:r>
            <w:r>
              <w:rPr>
                <w:rFonts w:hint="eastAsia" w:ascii="宋体" w:hAnsi="宋体" w:cs="新宋体"/>
                <w:sz w:val="18"/>
                <w:szCs w:val="18"/>
                <w:highlight w:val="none"/>
                <w:lang w:val="en-US" w:eastAsia="zh-CN"/>
              </w:rPr>
              <w:t xml:space="preserve"> 杨珍全</w:t>
            </w:r>
          </w:p>
          <w:p>
            <w:pPr>
              <w:rPr>
                <w:rFonts w:ascii="宋体" w:hAnsi="宋体" w:cs="新宋体"/>
                <w:sz w:val="18"/>
                <w:szCs w:val="18"/>
                <w:highlight w:val="none"/>
              </w:rPr>
            </w:pPr>
            <w:r>
              <w:rPr>
                <w:rFonts w:hint="eastAsia" w:ascii="宋体" w:hAnsi="宋体" w:cs="新宋体"/>
                <w:sz w:val="18"/>
                <w:szCs w:val="18"/>
                <w:highlight w:val="none"/>
              </w:rPr>
              <w:t>5.3组织的角色、职责和权限；6.2目标及其实现的策划；6.1.2环境因素；8.1运行策划和控制；8.2应急准备和响应</w:t>
            </w:r>
          </w:p>
          <w:p>
            <w:pPr>
              <w:rPr>
                <w:rFonts w:ascii="宋体" w:hAnsi="宋体" w:cs="新宋体"/>
                <w:sz w:val="18"/>
                <w:szCs w:val="18"/>
                <w:highlight w:val="none"/>
              </w:rPr>
            </w:pP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cs="新宋体"/>
                <w:sz w:val="18"/>
                <w:szCs w:val="18"/>
                <w:highlight w:val="none"/>
                <w:lang w:eastAsia="zh-CN"/>
              </w:rPr>
              <w:t>ISO45001：2018</w:t>
            </w:r>
            <w:r>
              <w:rPr>
                <w:rFonts w:hint="eastAsia" w:ascii="宋体" w:hAnsi="宋体" w:cs="新宋体"/>
                <w:sz w:val="18"/>
                <w:szCs w:val="18"/>
                <w:highlight w:val="none"/>
              </w:rPr>
              <w:t>：</w:t>
            </w:r>
            <w:r>
              <w:rPr>
                <w:rFonts w:hint="eastAsia" w:ascii="宋体" w:hAnsi="宋体" w:cs="新宋体"/>
                <w:sz w:val="18"/>
                <w:szCs w:val="18"/>
                <w:highlight w:val="none"/>
                <w:lang w:val="en-US" w:eastAsia="zh-CN"/>
              </w:rPr>
              <w:t>杨珍全</w:t>
            </w:r>
          </w:p>
          <w:p>
            <w:pPr>
              <w:snapToGrid w:val="0"/>
              <w:spacing w:line="240" w:lineRule="exact"/>
              <w:rPr>
                <w:rFonts w:ascii="宋体" w:hAnsi="宋体" w:cs="新宋体"/>
                <w:sz w:val="18"/>
                <w:szCs w:val="18"/>
                <w:highlight w:val="none"/>
              </w:rPr>
            </w:pPr>
            <w:r>
              <w:rPr>
                <w:rFonts w:hint="eastAsia" w:ascii="宋体" w:hAnsi="宋体" w:cs="新宋体"/>
                <w:sz w:val="18"/>
                <w:szCs w:val="18"/>
                <w:highlight w:val="none"/>
              </w:rPr>
              <w:t>5.3组织的角色、职责和权限；6.1.2危险源辨识和职业安全风险评价；6.2目标及其实现的策划；8.1运行策划和控制；8.2应急准备和响应；</w:t>
            </w:r>
          </w:p>
        </w:tc>
        <w:tc>
          <w:tcPr>
            <w:tcW w:w="1065" w:type="dxa"/>
            <w:tcBorders>
              <w:right w:val="single" w:color="auto" w:sz="8" w:space="0"/>
            </w:tcBorders>
            <w:noWra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杨珍全、宋明珠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6" w:hRule="atLeast"/>
          <w:jc w:val="center"/>
        </w:trPr>
        <w:tc>
          <w:tcPr>
            <w:tcW w:w="559" w:type="dxa"/>
            <w:vMerge w:val="continue"/>
            <w:tcBorders>
              <w:left w:val="single" w:color="auto" w:sz="8" w:space="0"/>
            </w:tcBorders>
            <w:noWrap/>
            <w:vAlign w:val="center"/>
          </w:tcPr>
          <w:p>
            <w:pPr>
              <w:snapToGrid w:val="0"/>
              <w:spacing w:line="280" w:lineRule="exact"/>
              <w:jc w:val="center"/>
              <w:rPr>
                <w:rFonts w:ascii="宋体" w:hAnsi="宋体"/>
                <w:b/>
                <w:bCs/>
                <w:sz w:val="21"/>
                <w:szCs w:val="21"/>
              </w:rPr>
            </w:pPr>
          </w:p>
        </w:tc>
        <w:tc>
          <w:tcPr>
            <w:tcW w:w="1738" w:type="dxa"/>
            <w:vMerge w:val="continue"/>
            <w:noWrap/>
          </w:tcPr>
          <w:p>
            <w:pPr>
              <w:snapToGrid w:val="0"/>
              <w:spacing w:line="320" w:lineRule="exact"/>
              <w:rPr>
                <w:rFonts w:ascii="宋体" w:hAnsi="宋体"/>
                <w:b/>
                <w:bCs/>
                <w:sz w:val="21"/>
                <w:szCs w:val="21"/>
              </w:rPr>
            </w:pPr>
          </w:p>
        </w:tc>
        <w:tc>
          <w:tcPr>
            <w:tcW w:w="862" w:type="dxa"/>
            <w:noWrap/>
          </w:tcPr>
          <w:p>
            <w:pPr>
              <w:spacing w:line="300" w:lineRule="exact"/>
              <w:rPr>
                <w:rFonts w:hint="eastAsia" w:ascii="宋体" w:hAnsi="宋体" w:eastAsia="宋体" w:cs="新宋体"/>
                <w:sz w:val="21"/>
                <w:szCs w:val="21"/>
                <w:lang w:eastAsia="zh-CN"/>
              </w:rPr>
            </w:pPr>
            <w:r>
              <w:rPr>
                <w:rFonts w:hint="eastAsia" w:ascii="宋体" w:hAnsi="宋体" w:cs="新宋体"/>
                <w:sz w:val="21"/>
                <w:szCs w:val="21"/>
                <w:lang w:eastAsia="zh-CN"/>
              </w:rPr>
              <w:t>设计部</w:t>
            </w:r>
          </w:p>
        </w:tc>
        <w:tc>
          <w:tcPr>
            <w:tcW w:w="6156" w:type="dxa"/>
            <w:noWrap/>
          </w:tcPr>
          <w:p>
            <w:pPr>
              <w:rPr>
                <w:rFonts w:hint="eastAsia" w:ascii="宋体" w:hAnsi="宋体" w:eastAsia="宋体" w:cs="新宋体"/>
                <w:sz w:val="18"/>
                <w:szCs w:val="18"/>
                <w:highlight w:val="none"/>
                <w:lang w:val="en-US" w:eastAsia="zh-CN"/>
              </w:rPr>
            </w:pPr>
            <w:r>
              <w:rPr>
                <w:rFonts w:hint="eastAsia" w:ascii="宋体" w:hAnsi="宋体" w:cs="新宋体"/>
                <w:sz w:val="18"/>
                <w:szCs w:val="18"/>
                <w:highlight w:val="none"/>
              </w:rPr>
              <w:t>QMS-2015：</w:t>
            </w:r>
            <w:r>
              <w:rPr>
                <w:rFonts w:hint="eastAsia" w:ascii="宋体" w:hAnsi="宋体" w:cs="新宋体"/>
                <w:sz w:val="18"/>
                <w:szCs w:val="18"/>
                <w:highlight w:val="none"/>
                <w:lang w:val="en-US" w:eastAsia="zh-CN"/>
              </w:rPr>
              <w:t xml:space="preserve"> 文平</w:t>
            </w:r>
          </w:p>
          <w:p>
            <w:pPr>
              <w:rPr>
                <w:rFonts w:ascii="宋体" w:hAnsi="宋体" w:cs="新宋体"/>
                <w:sz w:val="18"/>
                <w:szCs w:val="18"/>
                <w:highlight w:val="none"/>
              </w:rPr>
            </w:pPr>
            <w:r>
              <w:rPr>
                <w:rFonts w:hint="eastAsia" w:ascii="宋体" w:hAnsi="宋体" w:cs="新宋体"/>
                <w:sz w:val="18"/>
                <w:szCs w:val="18"/>
                <w:highlight w:val="none"/>
              </w:rPr>
              <w:t xml:space="preserve">5.3组织的角色、职责和权限；6.2目标及其实现的策划；7.1.3基础设施；7.1.4过程环境；7.1.5监视和测量资源；8.1运行策划和控制； 8.3设计开发控制；8.5生产和服务提供；8.6产品和服务放行；8.7不合格输出的控制； </w:t>
            </w:r>
          </w:p>
          <w:p>
            <w:pPr>
              <w:snapToGrid w:val="0"/>
              <w:spacing w:line="240" w:lineRule="exact"/>
              <w:rPr>
                <w:rFonts w:ascii="宋体" w:hAnsi="宋体" w:cs="新宋体"/>
                <w:sz w:val="18"/>
                <w:szCs w:val="18"/>
                <w:highlight w:val="none"/>
              </w:rPr>
            </w:pPr>
          </w:p>
          <w:p>
            <w:pPr>
              <w:rPr>
                <w:rFonts w:hint="eastAsia" w:ascii="宋体" w:hAnsi="宋体" w:eastAsia="宋体" w:cs="新宋体"/>
                <w:sz w:val="18"/>
                <w:szCs w:val="18"/>
                <w:highlight w:val="none"/>
                <w:lang w:val="en-US" w:eastAsia="zh-CN"/>
              </w:rPr>
            </w:pPr>
            <w:r>
              <w:rPr>
                <w:rFonts w:hint="eastAsia" w:ascii="宋体" w:hAnsi="宋体" w:cs="新宋体"/>
                <w:sz w:val="18"/>
                <w:szCs w:val="18"/>
                <w:highlight w:val="none"/>
              </w:rPr>
              <w:t>EMS-2015:</w:t>
            </w:r>
            <w:r>
              <w:rPr>
                <w:rFonts w:hint="eastAsia" w:ascii="宋体" w:hAnsi="宋体" w:cs="新宋体"/>
                <w:sz w:val="18"/>
                <w:szCs w:val="18"/>
                <w:highlight w:val="none"/>
                <w:lang w:val="en-US" w:eastAsia="zh-CN"/>
              </w:rPr>
              <w:t xml:space="preserve"> 文平</w:t>
            </w:r>
          </w:p>
          <w:p>
            <w:pPr>
              <w:rPr>
                <w:rFonts w:ascii="宋体" w:hAnsi="宋体" w:cs="新宋体"/>
                <w:sz w:val="18"/>
                <w:szCs w:val="18"/>
                <w:highlight w:val="none"/>
              </w:rPr>
            </w:pPr>
            <w:r>
              <w:rPr>
                <w:rFonts w:hint="eastAsia" w:ascii="宋体" w:hAnsi="宋体" w:cs="新宋体"/>
                <w:sz w:val="18"/>
                <w:szCs w:val="18"/>
                <w:highlight w:val="none"/>
              </w:rPr>
              <w:t>5.3组织的角色、职责和权限；6.2目标及其实现的策划； 6.1.2环境因素；8.1运行策划和控制；8.2应急准备和响应</w:t>
            </w:r>
          </w:p>
          <w:p>
            <w:pPr>
              <w:rPr>
                <w:rFonts w:ascii="宋体" w:hAnsi="宋体" w:cs="新宋体"/>
                <w:sz w:val="18"/>
                <w:szCs w:val="18"/>
                <w:highlight w:val="none"/>
              </w:rPr>
            </w:pP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cs="新宋体"/>
                <w:sz w:val="18"/>
                <w:szCs w:val="18"/>
                <w:highlight w:val="none"/>
                <w:lang w:eastAsia="zh-CN"/>
              </w:rPr>
              <w:t>ISO45001：2018</w:t>
            </w:r>
            <w:r>
              <w:rPr>
                <w:rFonts w:hint="eastAsia" w:ascii="宋体" w:hAnsi="宋体" w:cs="新宋体"/>
                <w:sz w:val="18"/>
                <w:szCs w:val="18"/>
                <w:highlight w:val="none"/>
              </w:rPr>
              <w:t>：</w:t>
            </w:r>
            <w:r>
              <w:rPr>
                <w:rFonts w:hint="eastAsia" w:ascii="宋体" w:hAnsi="宋体" w:cs="新宋体"/>
                <w:sz w:val="18"/>
                <w:szCs w:val="18"/>
                <w:highlight w:val="none"/>
                <w:lang w:val="en-US" w:eastAsia="zh-CN"/>
              </w:rPr>
              <w:t>文平</w:t>
            </w:r>
          </w:p>
          <w:p>
            <w:pPr>
              <w:snapToGrid w:val="0"/>
              <w:spacing w:line="240" w:lineRule="exact"/>
              <w:rPr>
                <w:rFonts w:ascii="宋体" w:hAnsi="宋体" w:cs="新宋体"/>
                <w:sz w:val="18"/>
                <w:szCs w:val="18"/>
                <w:highlight w:val="none"/>
              </w:rPr>
            </w:pPr>
            <w:r>
              <w:rPr>
                <w:rFonts w:hint="eastAsia" w:ascii="宋体" w:hAnsi="宋体" w:cs="新宋体"/>
                <w:sz w:val="18"/>
                <w:szCs w:val="18"/>
                <w:highlight w:val="none"/>
              </w:rPr>
              <w:t>5.3组织的角色、职责和权限；6.1.2危险源辨识和职业安全风险评价；6.2目标及其实现的策划；8.1运行策划和控制；8.2应急准备和响应；</w:t>
            </w:r>
          </w:p>
        </w:tc>
        <w:tc>
          <w:tcPr>
            <w:tcW w:w="1065" w:type="dxa"/>
            <w:tcBorders>
              <w:right w:val="single" w:color="auto" w:sz="8" w:space="0"/>
            </w:tcBorders>
            <w:noWrap/>
          </w:tcPr>
          <w:p>
            <w:pPr>
              <w:snapToGrid w:val="0"/>
              <w:spacing w:line="320" w:lineRule="exact"/>
              <w:rPr>
                <w:rFonts w:hint="eastAsia" w:ascii="宋体" w:hAnsi="宋体" w:eastAsia="宋体"/>
                <w:b/>
                <w:bCs/>
                <w:sz w:val="18"/>
                <w:szCs w:val="18"/>
                <w:lang w:val="en-US" w:eastAsia="zh-CN"/>
              </w:rPr>
            </w:pPr>
            <w:r>
              <w:rPr>
                <w:rFonts w:hint="eastAsia" w:ascii="宋体" w:hAnsi="宋体"/>
                <w:b/>
                <w:bCs/>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9" w:type="dxa"/>
            <w:vMerge w:val="continue"/>
            <w:tcBorders>
              <w:left w:val="single" w:color="auto" w:sz="8" w:space="0"/>
            </w:tcBorders>
            <w:noWrap/>
            <w:vAlign w:val="center"/>
          </w:tcPr>
          <w:p>
            <w:pPr>
              <w:snapToGrid w:val="0"/>
              <w:spacing w:line="280" w:lineRule="exact"/>
              <w:jc w:val="center"/>
              <w:rPr>
                <w:rFonts w:ascii="宋体" w:hAnsi="宋体"/>
                <w:b/>
                <w:bCs/>
                <w:sz w:val="21"/>
                <w:szCs w:val="21"/>
              </w:rPr>
            </w:pPr>
          </w:p>
        </w:tc>
        <w:tc>
          <w:tcPr>
            <w:tcW w:w="1738" w:type="dxa"/>
            <w:noWrap/>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7018" w:type="dxa"/>
            <w:gridSpan w:val="2"/>
            <w:noWrap/>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065" w:type="dxa"/>
            <w:tcBorders>
              <w:right w:val="single" w:color="auto" w:sz="8" w:space="0"/>
            </w:tcBorders>
            <w:noWrap/>
          </w:tcPr>
          <w:p>
            <w:pPr>
              <w:snapToGrid w:val="0"/>
              <w:spacing w:line="320" w:lineRule="exact"/>
              <w:rPr>
                <w:rFonts w:hint="default" w:ascii="宋体" w:hAnsi="宋体"/>
                <w:b/>
                <w:bCs/>
                <w:sz w:val="21"/>
                <w:szCs w:val="21"/>
                <w:lang w:val="en-US"/>
              </w:rPr>
            </w:pPr>
            <w:r>
              <w:rPr>
                <w:rFonts w:hint="eastAsia" w:ascii="宋体" w:hAnsi="宋体"/>
                <w:b/>
                <w:bCs/>
                <w:sz w:val="21"/>
                <w:szCs w:val="21"/>
                <w:lang w:val="en-US" w:eastAsia="zh-CN"/>
              </w:rPr>
              <w:t>文平、李林、杨珍全、宋明珠、陈伟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59" w:type="dxa"/>
            <w:vMerge w:val="continue"/>
            <w:tcBorders>
              <w:left w:val="single" w:color="auto" w:sz="8" w:space="0"/>
            </w:tcBorders>
            <w:noWrap/>
          </w:tcPr>
          <w:p>
            <w:pPr>
              <w:snapToGrid w:val="0"/>
              <w:spacing w:line="320" w:lineRule="exact"/>
              <w:rPr>
                <w:rFonts w:ascii="宋体" w:hAnsi="宋体"/>
                <w:b/>
                <w:bCs/>
                <w:sz w:val="21"/>
                <w:szCs w:val="21"/>
              </w:rPr>
            </w:pPr>
          </w:p>
        </w:tc>
        <w:tc>
          <w:tcPr>
            <w:tcW w:w="1738" w:type="dxa"/>
            <w:noWrap/>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7018" w:type="dxa"/>
            <w:gridSpan w:val="2"/>
            <w:noWrap/>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065" w:type="dxa"/>
            <w:tcBorders>
              <w:right w:val="single" w:color="auto" w:sz="8" w:space="0"/>
            </w:tcBorders>
            <w:noWrap/>
          </w:tcPr>
          <w:p>
            <w:pPr>
              <w:snapToGrid w:val="0"/>
              <w:spacing w:line="320" w:lineRule="exact"/>
              <w:rPr>
                <w:rFonts w:hint="default" w:ascii="宋体" w:hAnsi="宋体"/>
                <w:b/>
                <w:bCs/>
                <w:sz w:val="21"/>
                <w:szCs w:val="21"/>
                <w:lang w:val="en-US"/>
              </w:rPr>
            </w:pPr>
            <w:r>
              <w:rPr>
                <w:rFonts w:hint="eastAsia" w:ascii="宋体" w:hAnsi="宋体"/>
                <w:b/>
                <w:bCs/>
                <w:sz w:val="21"/>
                <w:szCs w:val="21"/>
                <w:lang w:val="en-US" w:eastAsia="zh-CN"/>
              </w:rPr>
              <w:t>文平、李林、杨珍全、宋明珠、陈伟</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2050" o:spid="_x0000_s2050"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1140C3"/>
    <w:rsid w:val="20294C1F"/>
    <w:rsid w:val="331775DC"/>
    <w:rsid w:val="48672677"/>
    <w:rsid w:val="5BE96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25</TotalTime>
  <ScaleCrop>false</ScaleCrop>
  <LinksUpToDate>false</LinksUpToDate>
  <CharactersWithSpaces>1223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Administrator</cp:lastModifiedBy>
  <dcterms:modified xsi:type="dcterms:W3CDTF">2021-06-08T03:47:17Z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D3BFE3DA2F5E474C9EA279F5EB468F18</vt:lpwstr>
  </property>
</Properties>
</file>