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重庆安贵机械有限公司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22.03.02,22.05.01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重庆安贵机械有限公司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重庆市九龙坡区西彭镇森迪大道9号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重庆市高新区含谷镇崇兴村1社</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023-65730553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范军</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范军</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刘霞</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汽车、摩托车金属覆盖件的加工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22.03.02;22.05.01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2020-12-26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供销部、综合部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生产部、品质部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不合格品控制；纠正和预防措施控制；策划管理；过程监控管理；产品验收管理；监视和测量设备管理；生产过程管理；设备设施管理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31"/>
        <w:gridCol w:w="2317"/>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3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2317" w:type="dxa"/>
          </w:tcPr>
          <w:p>
            <w:pPr>
              <w:rPr>
                <w:b/>
                <w:color w:val="000000" w:themeColor="text1"/>
                <w:sz w:val="20"/>
                <w:szCs w:val="20"/>
              </w:rPr>
            </w:pPr>
            <w:r>
              <w:rPr>
                <w:rFonts w:hint="eastAsia"/>
                <w:b/>
                <w:color w:val="000000" w:themeColor="text1"/>
                <w:sz w:val="20"/>
                <w:szCs w:val="20"/>
              </w:rPr>
              <w:t>规格</w:t>
            </w:r>
          </w:p>
        </w:tc>
        <w:tc>
          <w:tcPr>
            <w:tcW w:w="4457"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汽车、摩托车金属覆盖件的加工</w:t>
            </w:r>
          </w:p>
        </w:tc>
        <w:tc>
          <w:tcPr>
            <w:tcW w:w="1131" w:type="dxa"/>
          </w:tcPr>
          <w:p>
            <w:pPr>
              <w:rPr>
                <w:b/>
                <w:color w:val="000000" w:themeColor="text1"/>
                <w:sz w:val="20"/>
                <w:szCs w:val="20"/>
              </w:rPr>
            </w:pPr>
          </w:p>
        </w:tc>
        <w:tc>
          <w:tcPr>
            <w:tcW w:w="2317" w:type="dxa"/>
          </w:tcPr>
          <w:p>
            <w:pPr>
              <w:rPr>
                <w:b/>
                <w:color w:val="000000" w:themeColor="text1"/>
                <w:sz w:val="20"/>
                <w:szCs w:val="20"/>
              </w:rPr>
            </w:pPr>
          </w:p>
        </w:tc>
        <w:tc>
          <w:tcPr>
            <w:tcW w:w="4457" w:type="dxa"/>
          </w:tcPr>
          <w:p>
            <w:pPr>
              <w:widowControl/>
              <w:spacing w:line="400" w:lineRule="exact"/>
              <w:rPr>
                <w:b/>
                <w:color w:val="000000" w:themeColor="text1"/>
                <w:sz w:val="20"/>
                <w:szCs w:val="20"/>
              </w:rPr>
            </w:pPr>
            <w:r>
              <w:rPr>
                <w:rFonts w:hint="eastAsia" w:ascii="宋体" w:hAnsi="宋体"/>
                <w:szCs w:val="21"/>
              </w:rPr>
              <w:t>GB/T1804-2000《一般公差标准》</w:t>
            </w:r>
            <w:r>
              <w:rPr>
                <w:rFonts w:hint="eastAsia" w:ascii="宋体" w:hAnsi="宋体"/>
                <w:szCs w:val="21"/>
                <w:lang w:eastAsia="zh-CN"/>
              </w:rPr>
              <w:t>、</w:t>
            </w:r>
            <w:r>
              <w:rPr>
                <w:rFonts w:hint="eastAsia" w:ascii="宋体" w:hAnsi="宋体"/>
                <w:szCs w:val="21"/>
              </w:rPr>
              <w:t>GB 13887-2008</w:t>
            </w:r>
            <w:r>
              <w:rPr>
                <w:rFonts w:hint="default" w:ascii="宋体" w:hAnsi="宋体"/>
                <w:szCs w:val="21"/>
              </w:rPr>
              <w:t>冷冲压安全规程</w:t>
            </w:r>
            <w:r>
              <w:rPr>
                <w:rFonts w:hint="eastAsia" w:ascii="宋体" w:hAnsi="宋体"/>
                <w:szCs w:val="21"/>
              </w:rPr>
              <w:t>、GB/T 13914-2013</w:t>
            </w:r>
            <w:r>
              <w:rPr>
                <w:rFonts w:hint="default" w:ascii="宋体" w:hAnsi="宋体"/>
                <w:szCs w:val="21"/>
              </w:rPr>
              <w:t>冲压件尺寸公差</w:t>
            </w:r>
            <w:r>
              <w:rPr>
                <w:rFonts w:hint="eastAsia" w:ascii="宋体" w:hAnsi="宋体"/>
                <w:szCs w:val="21"/>
                <w:lang w:eastAsia="zh-CN"/>
              </w:rPr>
              <w:t>、</w:t>
            </w:r>
            <w:r>
              <w:rPr>
                <w:rFonts w:hint="eastAsia" w:ascii="宋体" w:hAnsi="宋体"/>
                <w:szCs w:val="21"/>
              </w:rPr>
              <w:t>GB/T 15055-2007</w:t>
            </w:r>
            <w:r>
              <w:rPr>
                <w:rFonts w:hint="default" w:ascii="宋体" w:hAnsi="宋体"/>
                <w:szCs w:val="21"/>
              </w:rPr>
              <w:t>冲压件未注公差尺寸极限偏差</w:t>
            </w:r>
            <w:r>
              <w:rPr>
                <w:rFonts w:hint="eastAsia" w:ascii="宋体" w:hAnsi="宋体"/>
                <w:szCs w:val="21"/>
                <w:lang w:eastAsia="zh-CN"/>
              </w:rPr>
              <w:t>、</w:t>
            </w:r>
            <w:r>
              <w:rPr>
                <w:rFonts w:hint="eastAsia" w:ascii="宋体" w:hAnsi="宋体"/>
                <w:szCs w:val="21"/>
              </w:rPr>
              <w:t>GB 8176-2012</w:t>
            </w:r>
            <w:r>
              <w:rPr>
                <w:rFonts w:hint="default" w:ascii="宋体" w:hAnsi="宋体"/>
                <w:szCs w:val="21"/>
              </w:rPr>
              <w:t>冲压车间安全生产通则</w:t>
            </w:r>
            <w:r>
              <w:rPr>
                <w:rFonts w:hint="eastAsia" w:ascii="宋体" w:hAnsi="宋体"/>
                <w:szCs w:val="21"/>
                <w:lang w:eastAsia="zh-CN"/>
              </w:rPr>
              <w:t>、</w:t>
            </w:r>
            <w:r>
              <w:rPr>
                <w:rFonts w:hint="eastAsia" w:ascii="宋体" w:hAnsi="宋体"/>
                <w:szCs w:val="21"/>
              </w:rPr>
              <w:t>GB-T708-2006《冷轧钢板和钢带的尺寸、外形、重量及允许偏差》等标准及客户技术、工艺要求。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131" w:type="dxa"/>
          </w:tcPr>
          <w:p>
            <w:pPr>
              <w:rPr>
                <w:b/>
                <w:color w:val="000000" w:themeColor="text1"/>
                <w:sz w:val="20"/>
                <w:szCs w:val="20"/>
              </w:rPr>
            </w:pPr>
          </w:p>
        </w:tc>
        <w:tc>
          <w:tcPr>
            <w:tcW w:w="2317" w:type="dxa"/>
          </w:tcPr>
          <w:p>
            <w:pPr>
              <w:rPr>
                <w:b/>
                <w:color w:val="000000" w:themeColor="text1"/>
                <w:sz w:val="20"/>
                <w:szCs w:val="20"/>
              </w:rPr>
            </w:pPr>
          </w:p>
        </w:tc>
        <w:tc>
          <w:tcPr>
            <w:tcW w:w="4457"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26</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17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rPr>
              <w:t>科学管理、合法经营；优质高效、顾客满意</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highlight w:val="none"/>
              </w:rPr>
              <w:t>5.</w:t>
            </w:r>
            <w:r>
              <w:rPr>
                <w:b/>
                <w:color w:val="000000" w:themeColor="text1"/>
                <w:sz w:val="20"/>
                <w:szCs w:val="20"/>
                <w:highlight w:val="none"/>
              </w:rPr>
              <w:t>QMS</w:t>
            </w:r>
            <w:r>
              <w:rPr>
                <w:rFonts w:hint="eastAsia" w:ascii="宋体" w:hAnsi="宋体"/>
                <w:b/>
                <w:color w:val="000000" w:themeColor="text1"/>
                <w:sz w:val="20"/>
                <w:szCs w:val="20"/>
                <w:highlight w:val="none"/>
              </w:rPr>
              <w:t>过程</w:t>
            </w:r>
          </w:p>
          <w:p>
            <w:pPr>
              <w:spacing w:line="0" w:lineRule="atLeast"/>
              <w:jc w:val="left"/>
              <w:rPr>
                <w:rFonts w:ascii="宋体" w:hAnsi="宋体"/>
                <w:szCs w:val="21"/>
                <w:highlight w:val="none"/>
              </w:rPr>
            </w:pPr>
            <w:r>
              <w:rPr>
                <w:rFonts w:hint="eastAsia" w:ascii="宋体" w:hAnsi="宋体"/>
                <w:b/>
                <w:color w:val="000000" w:themeColor="text1"/>
                <w:sz w:val="20"/>
                <w:szCs w:val="20"/>
                <w:highlight w:val="none"/>
              </w:rPr>
              <w:t>质量管理体系过程有：</w:t>
            </w:r>
            <w:r>
              <w:rPr>
                <w:sz w:val="20"/>
                <w:highlight w:val="none"/>
              </w:rPr>
              <w:t>汽车、摩托车金属覆盖件的加工</w:t>
            </w:r>
          </w:p>
          <w:p>
            <w:pPr>
              <w:tabs>
                <w:tab w:val="left" w:pos="540"/>
              </w:tabs>
              <w:spacing w:line="300" w:lineRule="exact"/>
              <w:rPr>
                <w:rFonts w:ascii="宋体" w:hAnsi="宋体"/>
                <w:b/>
                <w:sz w:val="20"/>
                <w:szCs w:val="20"/>
                <w:highlight w:val="none"/>
                <w:u w:val="single"/>
              </w:rPr>
            </w:pPr>
            <w:r>
              <w:rPr>
                <w:rFonts w:hint="eastAsia" w:ascii="宋体" w:hAnsi="宋体"/>
                <w:b/>
                <w:sz w:val="20"/>
                <w:szCs w:val="20"/>
                <w:highlight w:val="none"/>
              </w:rPr>
              <w:t>其中关键过程有：</w:t>
            </w:r>
            <w:r>
              <w:rPr>
                <w:rFonts w:hint="eastAsia" w:ascii="宋体" w:hAnsi="宋体"/>
                <w:szCs w:val="21"/>
                <w:highlight w:val="none"/>
              </w:rPr>
              <w:t>冲压过程</w:t>
            </w:r>
          </w:p>
          <w:p>
            <w:pPr>
              <w:tabs>
                <w:tab w:val="left" w:pos="540"/>
              </w:tabs>
              <w:spacing w:line="300" w:lineRule="exact"/>
              <w:rPr>
                <w:rFonts w:ascii="宋体" w:hAnsi="宋体"/>
                <w:szCs w:val="21"/>
                <w:highlight w:val="none"/>
              </w:rPr>
            </w:pPr>
            <w:r>
              <w:rPr>
                <w:rFonts w:hint="eastAsia" w:ascii="宋体" w:hAnsi="宋体"/>
                <w:szCs w:val="21"/>
                <w:highlight w:val="none"/>
              </w:rPr>
              <w:t>需要确认过程： 无</w:t>
            </w:r>
          </w:p>
          <w:p>
            <w:pPr>
              <w:widowControl/>
              <w:spacing w:line="400" w:lineRule="exact"/>
              <w:rPr>
                <w:rFonts w:ascii="宋体" w:hAnsi="宋体"/>
                <w:b/>
                <w:color w:val="000000" w:themeColor="text1"/>
                <w:szCs w:val="21"/>
                <w:highlight w:val="none"/>
              </w:rPr>
            </w:pPr>
            <w:r>
              <w:rPr>
                <w:rFonts w:ascii="宋体" w:hAnsi="宋体"/>
                <w:b/>
                <w:color w:val="000000" w:themeColor="text1"/>
                <w:sz w:val="20"/>
                <w:szCs w:val="20"/>
                <w:highlight w:val="none"/>
              </w:rPr>
              <w:pict>
                <v:shape id="_x0000_s2050" o:spid="_x0000_s2050" o:spt="32" type="#_x0000_t32" style="position:absolute;left:0pt;margin-left:55.15pt;margin-top:18pt;height:0pt;width:42pt;z-index:251661312;mso-width-relative:page;mso-height-relative:page;" o:connectortype="straight" filled="f" coordsize="21600,21600">
                  <v:path arrowok="t"/>
                  <v:fill on="f" focussize="0,0"/>
                  <v:stroke/>
                  <v:imagedata o:title=""/>
                  <o:lock v:ext="edit"/>
                </v:shape>
              </w:pict>
            </w:r>
            <w:r>
              <w:rPr>
                <w:b/>
                <w:color w:val="000000" w:themeColor="text1"/>
                <w:sz w:val="20"/>
                <w:szCs w:val="20"/>
                <w:highlight w:val="none"/>
              </w:rPr>
              <w:pict>
                <v:shape id="_x0000_s2051" o:spid="_x0000_s2051" o:spt="32" type="#_x0000_t32" style="position:absolute;left:0pt;margin-left:176.65pt;margin-top:18.75pt;height:0pt;width:261.75pt;z-index:25166233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不适用条款是 Q8.3       ，不适用理由：</w:t>
            </w:r>
            <w:r>
              <w:rPr>
                <w:rFonts w:hint="eastAsia" w:ascii="宋体" w:hAnsi="宋体" w:eastAsia="宋体"/>
                <w:bCs/>
                <w:color w:val="000000" w:themeColor="text1"/>
                <w:highlight w:val="none"/>
                <w:lang w:eastAsia="zh-CN"/>
              </w:rPr>
              <w:t>组织的生产均系按顾客的要求及国家标准、法律法规</w:t>
            </w:r>
            <w:r>
              <w:rPr>
                <w:rFonts w:hint="eastAsia" w:ascii="宋体" w:hAnsi="宋体" w:eastAsia="宋体" w:cs="Times New Roman"/>
                <w:bCs/>
                <w:color w:val="000000" w:themeColor="text1"/>
                <w:highlight w:val="none"/>
                <w:lang w:eastAsia="zh-CN"/>
              </w:rPr>
              <w:t>要求</w:t>
            </w:r>
            <w:r>
              <w:rPr>
                <w:rFonts w:hint="eastAsia" w:ascii="宋体" w:hAnsi="宋体" w:eastAsia="宋体" w:cs="Times New Roman"/>
                <w:bCs/>
                <w:color w:val="000000" w:themeColor="text1"/>
                <w:highlight w:val="none"/>
                <w:u w:val="single"/>
                <w:lang w:eastAsia="zh-CN"/>
              </w:rPr>
              <w:t>进行生产，产品、工艺和设备定型，工艺成熟，故标准8.3设计和开发不适用。对以上条款的不适用并不影响本公司提供满足顾客和适用法律法规要求的产品的能力或责任的要求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rFonts w:ascii="宋体" w:hAnsi="宋体"/>
                <w:szCs w:val="21"/>
              </w:rPr>
            </w:pPr>
            <w:r>
              <w:rPr>
                <w:rFonts w:hint="eastAsia"/>
                <w:color w:val="000000"/>
                <w:szCs w:val="21"/>
              </w:rPr>
              <w:t>质量目标：</w:t>
            </w:r>
          </w:p>
          <w:p>
            <w:pPr>
              <w:widowControl/>
              <w:spacing w:line="400" w:lineRule="exact"/>
              <w:rPr>
                <w:rFonts w:ascii="宋体" w:hAnsi="宋体"/>
                <w:szCs w:val="21"/>
              </w:rPr>
            </w:pPr>
            <w:r>
              <w:rPr>
                <w:rFonts w:hint="eastAsia" w:ascii="宋体" w:hAnsi="宋体"/>
                <w:szCs w:val="21"/>
              </w:rPr>
              <w:t>a、客户质量问题反馈率：＜0.5%</w:t>
            </w:r>
          </w:p>
          <w:p>
            <w:pPr>
              <w:widowControl/>
              <w:spacing w:line="400" w:lineRule="exact"/>
              <w:rPr>
                <w:rFonts w:ascii="宋体" w:hAnsi="宋体"/>
                <w:szCs w:val="21"/>
              </w:rPr>
            </w:pPr>
            <w:r>
              <w:rPr>
                <w:rFonts w:hint="eastAsia" w:ascii="宋体" w:hAnsi="宋体"/>
                <w:szCs w:val="21"/>
              </w:rPr>
              <w:t>b、客户满意率95%以上</w:t>
            </w:r>
          </w:p>
          <w:p>
            <w:pPr>
              <w:widowControl/>
              <w:spacing w:line="400" w:lineRule="exact"/>
              <w:rPr>
                <w:rFonts w:ascii="宋体" w:hAnsi="宋体"/>
                <w:szCs w:val="21"/>
              </w:rPr>
            </w:pPr>
            <w:r>
              <w:rPr>
                <w:rFonts w:hint="eastAsia" w:ascii="宋体" w:hAnsi="宋体"/>
                <w:szCs w:val="21"/>
              </w:rPr>
              <w:t>C、产品一次检验合格过率＞98%，</w:t>
            </w:r>
          </w:p>
          <w:p>
            <w:pPr>
              <w:spacing w:line="300" w:lineRule="exact"/>
              <w:rPr>
                <w:rFonts w:ascii="宋体" w:hAnsi="宋体"/>
                <w:b/>
                <w:color w:val="000000" w:themeColor="text1"/>
              </w:rPr>
            </w:pPr>
            <w:r>
              <w:rPr>
                <w:rFonts w:hint="eastAsia" w:ascii="宋体" w:hAnsi="宋体"/>
                <w:szCs w:val="21"/>
              </w:rPr>
              <w:t>D、重大质量/安全事故为0；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12</w:t>
            </w:r>
            <w:r>
              <w:rPr>
                <w:rFonts w:hint="eastAsia" w:ascii="宋体" w:hAnsi="宋体" w:cs="宋体"/>
                <w:color w:val="000000" w:themeColor="text1"/>
              </w:rPr>
              <w:t>月2</w:t>
            </w:r>
            <w:r>
              <w:rPr>
                <w:rFonts w:hint="eastAsia" w:ascii="宋体" w:hAnsi="宋体" w:cs="宋体"/>
                <w:color w:val="000000" w:themeColor="text1"/>
                <w:lang w:val="en-US" w:eastAsia="zh-CN"/>
              </w:rPr>
              <w:t>6</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sz w:val="20"/>
                <w:szCs w:val="20"/>
              </w:rPr>
            </w:pPr>
            <w:r>
              <w:rPr>
                <w:rFonts w:hint="eastAsia" w:ascii="宋体" w:hAnsi="宋体"/>
                <w:bCs/>
                <w:iCs/>
                <w:szCs w:val="22"/>
                <w:highlight w:val="none"/>
              </w:rPr>
              <w:t>厂房</w:t>
            </w:r>
            <w:r>
              <w:rPr>
                <w:rFonts w:hint="eastAsia" w:ascii="宋体" w:hAnsi="宋体"/>
                <w:bCs/>
                <w:iCs/>
                <w:szCs w:val="22"/>
                <w:highlight w:val="none"/>
              </w:rPr>
              <w:t>面积</w:t>
            </w:r>
            <w:r>
              <w:rPr>
                <w:rFonts w:hint="eastAsia" w:ascii="宋体" w:hAnsi="宋体"/>
                <w:bCs/>
                <w:iCs/>
                <w:szCs w:val="22"/>
                <w:highlight w:val="none"/>
                <w:lang w:val="en-US" w:eastAsia="zh-CN"/>
              </w:rPr>
              <w:t>18</w:t>
            </w:r>
            <w:r>
              <w:rPr>
                <w:rFonts w:hint="eastAsia" w:ascii="宋体" w:hAnsi="宋体"/>
                <w:bCs/>
                <w:iCs/>
                <w:szCs w:val="22"/>
                <w:highlight w:val="none"/>
              </w:rPr>
              <w:t>00平方米左右，库房与生产场所分区，办公场所面积200平方米左右.主要生产设备包括：</w:t>
            </w:r>
            <w:r>
              <w:rPr>
                <w:rFonts w:hint="eastAsia" w:ascii="宋体" w:hAnsi="宋体" w:cs="宋体"/>
                <w:szCs w:val="21"/>
                <w:highlight w:val="none"/>
              </w:rPr>
              <w:t>冲床、剪板机、</w:t>
            </w:r>
            <w:r>
              <w:rPr>
                <w:rFonts w:hint="eastAsia" w:ascii="宋体" w:hAnsi="宋体" w:cs="宋体"/>
                <w:szCs w:val="21"/>
                <w:highlight w:val="none"/>
                <w:lang w:eastAsia="zh-CN"/>
              </w:rPr>
              <w:t>液压机</w:t>
            </w:r>
            <w:r>
              <w:rPr>
                <w:rFonts w:hint="eastAsia" w:ascii="宋体" w:hAnsi="宋体" w:cs="宋体"/>
                <w:szCs w:val="21"/>
                <w:highlight w:val="none"/>
              </w:rPr>
              <w:t>、车床</w:t>
            </w:r>
            <w:r>
              <w:rPr>
                <w:rFonts w:hint="eastAsia" w:ascii="宋体" w:hAnsi="宋体" w:cs="宋体"/>
                <w:szCs w:val="21"/>
                <w:highlight w:val="none"/>
                <w:lang w:val="en-US" w:eastAsia="zh-CN"/>
              </w:rPr>
              <w:t>等</w:t>
            </w:r>
            <w:r>
              <w:rPr>
                <w:rFonts w:hint="eastAsia" w:ascii="宋体" w:hAnsi="宋体"/>
                <w:bCs/>
                <w:iCs/>
                <w:szCs w:val="22"/>
                <w:highlight w:val="none"/>
              </w:rPr>
              <w:t>，可以满足生产需要。对设备按月方式进行点检维护保养，并实施。特种设备：行车1台（2.8T）。</w:t>
            </w:r>
            <w:r>
              <w:rPr>
                <w:rFonts w:hint="eastAsia" w:ascii="宋体" w:hAnsi="宋体"/>
                <w:spacing w:val="-10"/>
                <w:sz w:val="20"/>
                <w:szCs w:val="20"/>
                <w:highlight w:val="none"/>
              </w:rPr>
              <w:t>无需年检</w:t>
            </w:r>
            <w:r>
              <w:rPr>
                <w:rFonts w:hint="eastAsia" w:ascii="宋体" w:hAnsi="宋体"/>
                <w:spacing w:val="-10"/>
                <w:sz w:val="20"/>
                <w:szCs w:val="20"/>
                <w:highlight w:val="none"/>
                <w:lang w:eastAsia="zh-CN"/>
              </w:rPr>
              <w:t>，</w:t>
            </w:r>
            <w:r>
              <w:rPr>
                <w:rFonts w:hint="eastAsia" w:ascii="宋体" w:hAnsi="宋体"/>
                <w:spacing w:val="-10"/>
                <w:sz w:val="20"/>
                <w:szCs w:val="20"/>
                <w:highlight w:val="none"/>
                <w:lang w:val="en-US" w:eastAsia="zh-CN"/>
              </w:rPr>
              <w:t>已封存停用。</w:t>
            </w:r>
            <w:r>
              <w:rPr>
                <w:rFonts w:hint="eastAsia" w:ascii="宋体" w:hAnsi="宋体"/>
                <w:bCs/>
                <w:iCs/>
                <w:szCs w:val="22"/>
                <w:highlight w:val="none"/>
              </w:rPr>
              <w:t>公司未</w:t>
            </w:r>
            <w:r>
              <w:rPr>
                <w:rFonts w:hint="eastAsia" w:ascii="宋体" w:hAnsi="宋体"/>
                <w:bCs/>
                <w:iCs/>
                <w:szCs w:val="22"/>
              </w:rPr>
              <w:t>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车间内设备布置合理，通道畅通，照明设施齐全，均配备了消防设施等设施。办公室、生产车间明亮，作业场所光线较充足。每月由生产部对工作环境进行定期检查。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sz w:val="20"/>
                <w:szCs w:val="20"/>
                <w:highlight w:val="none"/>
              </w:rPr>
            </w:pPr>
            <w:r>
              <w:rPr>
                <w:rFonts w:hint="eastAsia" w:ascii="宋体" w:hAnsi="宋体" w:cs="宋体"/>
                <w:szCs w:val="21"/>
                <w:highlight w:val="none"/>
              </w:rPr>
              <w:t>生产车间及检验部门均按策划的要求配置了相应的检测设备，均采用委外送检的方式。抽在用检具</w:t>
            </w:r>
            <w:r>
              <w:rPr>
                <w:rFonts w:hint="eastAsia" w:ascii="宋体" w:hAnsi="宋体"/>
                <w:szCs w:val="21"/>
                <w:highlight w:val="none"/>
              </w:rPr>
              <w:t>游标卡尺、高度尺、</w:t>
            </w:r>
            <w:r>
              <w:rPr>
                <w:rFonts w:hint="eastAsia" w:ascii="宋体" w:hAnsi="宋体"/>
                <w:szCs w:val="21"/>
                <w:highlight w:val="none"/>
                <w:lang w:val="en-US" w:eastAsia="zh-CN"/>
              </w:rPr>
              <w:t>外径千分尺</w:t>
            </w:r>
            <w:r>
              <w:rPr>
                <w:rFonts w:hint="eastAsia" w:ascii="宋体" w:hAnsi="宋体"/>
                <w:szCs w:val="21"/>
                <w:highlight w:val="none"/>
              </w:rPr>
              <w:t>等</w:t>
            </w:r>
            <w:r>
              <w:rPr>
                <w:rFonts w:hint="eastAsia" w:ascii="宋体" w:hAnsi="宋体" w:cs="宋体"/>
                <w:szCs w:val="21"/>
                <w:highlight w:val="none"/>
              </w:rPr>
              <w:t>的检定或校准证书</w:t>
            </w:r>
            <w:r>
              <w:rPr>
                <w:rFonts w:hint="eastAsia" w:ascii="宋体" w:hAnsi="宋体" w:cs="宋体"/>
                <w:szCs w:val="21"/>
                <w:highlight w:val="none"/>
                <w:lang w:eastAsia="zh-CN"/>
              </w:rPr>
              <w:t>，</w:t>
            </w:r>
            <w:r>
              <w:rPr>
                <w:rFonts w:hint="eastAsia" w:ascii="宋体" w:hAnsi="宋体" w:cs="宋体"/>
                <w:szCs w:val="21"/>
                <w:highlight w:val="none"/>
                <w:lang w:val="en-US" w:eastAsia="zh-CN"/>
              </w:rPr>
              <w:t>均</w:t>
            </w:r>
            <w:r>
              <w:rPr>
                <w:rFonts w:hint="eastAsia" w:ascii="宋体" w:hAnsi="宋体" w:cs="宋体"/>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cs="宋体"/>
                <w:color w:val="000000"/>
                <w:szCs w:val="21"/>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2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无</w:t>
            </w:r>
          </w:p>
          <w:p>
            <w:pPr>
              <w:spacing w:line="240" w:lineRule="exact"/>
              <w:ind w:firstLine="402" w:firstLineChars="200"/>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b/>
                <w:sz w:val="20"/>
                <w:szCs w:val="20"/>
              </w:rPr>
            </w:pPr>
            <w:r>
              <w:rPr>
                <w:rFonts w:hint="eastAsia" w:ascii="宋体" w:hAnsi="宋体" w:cs="宋体"/>
                <w:szCs w:val="21"/>
                <w:highlight w:val="none"/>
              </w:rPr>
              <w:t>特种设备：行车一台（2.8T）</w:t>
            </w:r>
            <w:r>
              <w:rPr>
                <w:rFonts w:hint="eastAsia" w:ascii="宋体" w:hAnsi="宋体"/>
                <w:spacing w:val="-10"/>
                <w:sz w:val="20"/>
                <w:szCs w:val="20"/>
                <w:highlight w:val="none"/>
              </w:rPr>
              <w:t>无需年检</w:t>
            </w:r>
            <w:r>
              <w:rPr>
                <w:rFonts w:hint="eastAsia" w:ascii="宋体" w:hAnsi="宋体"/>
                <w:spacing w:val="-10"/>
                <w:sz w:val="20"/>
                <w:szCs w:val="20"/>
                <w:highlight w:val="none"/>
                <w:lang w:eastAsia="zh-CN"/>
              </w:rPr>
              <w:t>，</w:t>
            </w:r>
            <w:r>
              <w:rPr>
                <w:rFonts w:hint="eastAsia" w:ascii="宋体" w:hAnsi="宋体"/>
                <w:spacing w:val="-10"/>
                <w:sz w:val="20"/>
                <w:szCs w:val="20"/>
                <w:highlight w:val="none"/>
                <w:lang w:val="en-US" w:eastAsia="zh-CN"/>
              </w:rPr>
              <w:t>已封存停用。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w:t>
            </w:r>
            <w:r>
              <w:rPr>
                <w:rFonts w:hint="eastAsia" w:ascii="宋体" w:hAnsi="宋体" w:cs="宋体"/>
                <w:color w:val="000000"/>
                <w:szCs w:val="21"/>
                <w:highlight w:val="none"/>
              </w:rPr>
              <w:t>，通过数据的汇总统计、描述性统计等方法对目标进行了测量，总体已达到或超过了规定的目</w:t>
            </w:r>
            <w:r>
              <w:rPr>
                <w:rFonts w:hint="eastAsia" w:ascii="宋体" w:hAnsi="宋体" w:cs="宋体"/>
                <w:szCs w:val="21"/>
                <w:highlight w:val="none"/>
              </w:rPr>
              <w:t>标值。通过20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highlight w:val="none"/>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w:t>
            </w:r>
            <w:r>
              <w:rPr>
                <w:rFonts w:hint="eastAsia" w:ascii="宋体" w:hAnsi="宋体" w:cs="宋体"/>
                <w:szCs w:val="21"/>
                <w:highlight w:val="none"/>
              </w:rPr>
              <w:t>处理，但在顾客反馈信息的利用上不够，需要改善。近年来未发生重大顾客投诉和产品质量事故。顾客满意度调查按规定实施，20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月实施，满意度评价98%，总体实现了顾客满意度的质量目标要求。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ind w:firstLine="420" w:firstLineChars="200"/>
              <w:rPr>
                <w:b/>
                <w:color w:val="FF0000"/>
                <w:sz w:val="20"/>
                <w:szCs w:val="20"/>
              </w:rPr>
            </w:pPr>
            <w:r>
              <w:rPr>
                <w:rFonts w:hint="eastAsia" w:ascii="宋体" w:hAnsi="宋体" w:eastAsia="宋体" w:cs="宋体"/>
                <w:color w:val="000000"/>
                <w:szCs w:val="21"/>
              </w:rPr>
              <w:t>建立有《内部审核控制程序》，规定了内审频次一年一次，内审时间：</w:t>
            </w:r>
            <w:r>
              <w:rPr>
                <w:rFonts w:hint="eastAsia"/>
                <w:szCs w:val="21"/>
                <w:lang w:eastAsia="zh-CN"/>
              </w:rPr>
              <w:t>2021年4月10日</w:t>
            </w:r>
            <w:r>
              <w:rPr>
                <w:rFonts w:hint="eastAsia" w:ascii="宋体" w:hAnsi="宋体" w:eastAsia="宋体" w:cs="宋体"/>
                <w:color w:val="000000"/>
                <w:szCs w:val="21"/>
              </w:rPr>
              <w:t xml:space="preserve">，拟定了审核实施表，明确了内审范围，内审人员经培训合格上岗，能力满足要求，未出现审核本部门情况，内审不符合项1项， </w:t>
            </w:r>
            <w:r>
              <w:rPr>
                <w:rFonts w:hint="eastAsia"/>
                <w:szCs w:val="21"/>
              </w:rPr>
              <w:t>涉及</w:t>
            </w:r>
            <w:r>
              <w:rPr>
                <w:rFonts w:hint="eastAsia"/>
                <w:szCs w:val="21"/>
                <w:lang w:val="en-US" w:eastAsia="zh-CN"/>
              </w:rPr>
              <w:t>综合</w:t>
            </w:r>
            <w:r>
              <w:rPr>
                <w:rFonts w:hint="eastAsia"/>
                <w:szCs w:val="21"/>
              </w:rPr>
              <w:t>部</w:t>
            </w:r>
            <w:r>
              <w:rPr>
                <w:rFonts w:hint="eastAsia"/>
                <w:szCs w:val="21"/>
                <w:lang w:val="en-US" w:eastAsia="zh-CN"/>
              </w:rPr>
              <w:t>7.2条款</w:t>
            </w:r>
            <w:r>
              <w:rPr>
                <w:rFonts w:hint="eastAsia"/>
                <w:szCs w:val="21"/>
              </w:rPr>
              <w:t>，不符合事实描述为：</w:t>
            </w:r>
            <w:r>
              <w:rPr>
                <w:rFonts w:hint="eastAsia"/>
                <w:szCs w:val="21"/>
                <w:lang w:val="en-US" w:eastAsia="zh-CN"/>
              </w:rPr>
              <w:t>现场查看，发现对《GB/T 13914-2013冲压件尺寸公差》标准的培训，相关负责人未对其培训效果进行评价</w:t>
            </w:r>
            <w:r>
              <w:rPr>
                <w:rFonts w:hint="eastAsia" w:ascii="宋体" w:hAnsi="宋体" w:eastAsia="宋体" w:cs="宋体"/>
                <w:color w:val="000000"/>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Cs w:val="21"/>
              </w:rPr>
              <w:t>20</w:t>
            </w:r>
            <w:r>
              <w:rPr>
                <w:rFonts w:hint="eastAsia" w:ascii="宋体" w:hAnsi="宋体"/>
                <w:kern w:val="0"/>
                <w:szCs w:val="21"/>
                <w:lang w:val="en-US" w:eastAsia="zh-CN"/>
              </w:rPr>
              <w:t>21</w:t>
            </w:r>
            <w:r>
              <w:rPr>
                <w:rFonts w:hint="eastAsia" w:ascii="宋体" w:hAnsi="宋体"/>
                <w:kern w:val="0"/>
                <w:szCs w:val="21"/>
              </w:rPr>
              <w:t>年</w:t>
            </w:r>
            <w:r>
              <w:rPr>
                <w:rFonts w:hint="eastAsia" w:ascii="宋体" w:hAnsi="宋体"/>
                <w:kern w:val="0"/>
                <w:szCs w:val="21"/>
                <w:lang w:val="en-US" w:eastAsia="zh-CN"/>
              </w:rPr>
              <w:t>4</w:t>
            </w:r>
            <w:r>
              <w:rPr>
                <w:rFonts w:hint="eastAsia" w:ascii="宋体" w:hAnsi="宋体"/>
                <w:kern w:val="0"/>
                <w:szCs w:val="21"/>
              </w:rPr>
              <w:t>月20日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spacing w:val="-20"/>
                <w:sz w:val="20"/>
                <w:szCs w:val="20"/>
                <w:highlight w:val="none"/>
              </w:rPr>
            </w:pPr>
            <w:r>
              <w:rPr>
                <w:rFonts w:hint="eastAsia"/>
                <w:b/>
                <w:color w:val="000000" w:themeColor="text1"/>
                <w:spacing w:val="-20"/>
                <w:sz w:val="20"/>
                <w:szCs w:val="20"/>
                <w:highlight w:val="none"/>
              </w:rPr>
              <w:t>3</w:t>
            </w:r>
            <w:r>
              <w:rPr>
                <w:rFonts w:hint="eastAsia"/>
                <w:b/>
                <w:color w:val="FF0000"/>
                <w:spacing w:val="-20"/>
                <w:sz w:val="20"/>
                <w:szCs w:val="20"/>
                <w:highlight w:val="none"/>
              </w:rPr>
              <w:t xml:space="preserve">. </w:t>
            </w:r>
            <w:r>
              <w:rPr>
                <w:rFonts w:hint="eastAsia"/>
                <w:b/>
                <w:spacing w:val="-20"/>
                <w:sz w:val="20"/>
                <w:szCs w:val="20"/>
                <w:highlight w:val="none"/>
              </w:rPr>
              <w:t>一阶段提出问题的整改情况?</w:t>
            </w:r>
          </w:p>
          <w:p>
            <w:pPr>
              <w:spacing w:line="240" w:lineRule="exact"/>
              <w:rPr>
                <w:rFonts w:hint="eastAsia" w:eastAsia="宋体"/>
                <w:b/>
                <w:color w:val="FF0000"/>
                <w:spacing w:val="-20"/>
                <w:sz w:val="20"/>
                <w:szCs w:val="20"/>
                <w:highlight w:val="none"/>
                <w:lang w:eastAsia="zh-CN"/>
              </w:rPr>
            </w:pPr>
            <w:r>
              <w:rPr>
                <w:rFonts w:hint="eastAsia"/>
                <w:b/>
                <w:spacing w:val="-20"/>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生产</w:t>
      </w:r>
      <w:r>
        <w:rPr>
          <w:rFonts w:hint="eastAsia"/>
          <w:b/>
          <w:color w:val="000000" w:themeColor="text1"/>
          <w:highlight w:val="none"/>
        </w:rPr>
        <w:t>部门</w:t>
      </w:r>
      <w:r>
        <w:rPr>
          <w:rFonts w:hint="eastAsia"/>
          <w:b/>
          <w:color w:val="000000" w:themeColor="text1"/>
          <w:highlight w:val="none"/>
          <w:lang w:val="en-US" w:eastAsia="zh-CN"/>
        </w:rPr>
        <w:t>8.5.2</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highlight w:val="none"/>
        </w:rPr>
        <w:t>2. 本次审核发现不符合及存在问题对管理体</w:t>
      </w:r>
      <w:r>
        <w:rPr>
          <w:rFonts w:hint="eastAsia"/>
          <w:b/>
          <w:bCs/>
          <w:color w:val="000000" w:themeColor="text1"/>
          <w:szCs w:val="28"/>
        </w:rPr>
        <w:t>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sz w:val="20"/>
              </w:rPr>
            </w:pPr>
            <w:r>
              <w:rPr>
                <w:rFonts w:ascii="宋体" w:hAnsi="宋体"/>
                <w:b/>
                <w:color w:val="000000" w:themeColor="text1"/>
              </w:rPr>
              <w:t>QMS:</w:t>
            </w:r>
            <w:r>
              <w:rPr>
                <w:sz w:val="20"/>
              </w:rPr>
              <w:t>汽车、摩托车金属覆盖件的加工</w:t>
            </w:r>
          </w:p>
          <w:p>
            <w:pPr>
              <w:pStyle w:val="2"/>
            </w:pPr>
          </w:p>
          <w:p>
            <w:pPr>
              <w:spacing w:line="320" w:lineRule="exact"/>
              <w:rPr>
                <w:rFonts w:hint="eastAsia" w:ascii="宋体" w:hAnsi="宋体"/>
                <w:b/>
                <w:color w:val="000000" w:themeColor="text1"/>
                <w:lang w:val="en-GB"/>
              </w:rPr>
            </w:pPr>
            <w:r>
              <w:rPr>
                <w:rFonts w:hint="eastAsia" w:ascii="宋体" w:hAnsi="宋体"/>
                <w:b/>
                <w:color w:val="000000" w:themeColor="text1"/>
              </w:rPr>
              <w:t>EMS</w:t>
            </w:r>
            <w:r>
              <w:rPr>
                <w:rFonts w:hint="eastAsia" w:ascii="宋体" w:hAnsi="宋体"/>
                <w:b/>
                <w:color w:val="000000" w:themeColor="text1"/>
                <w:lang w:val="en-GB"/>
              </w:rPr>
              <w:t>:</w:t>
            </w:r>
          </w:p>
          <w:p>
            <w:pPr>
              <w:pStyle w:val="2"/>
              <w:rPr>
                <w:lang w:val="en-GB"/>
              </w:rPr>
            </w:pP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1210945</wp:posOffset>
            </wp:positionH>
            <wp:positionV relativeFrom="paragraph">
              <wp:posOffset>377190</wp:posOffset>
            </wp:positionV>
            <wp:extent cx="499745" cy="378460"/>
            <wp:effectExtent l="0" t="0" r="8255" b="2540"/>
            <wp:wrapNone/>
            <wp:docPr id="4"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Administrator\Desktop\签名.jpg"/>
                    <pic:cNvPicPr>
                      <a:picLocks noChangeAspect="1"/>
                    </pic:cNvPicPr>
                  </pic:nvPicPr>
                  <pic:blipFill>
                    <a:blip r:embed="rId6"/>
                    <a:stretch>
                      <a:fillRect/>
                    </a:stretch>
                  </pic:blipFill>
                  <pic:spPr>
                    <a:xfrm>
                      <a:off x="0" y="0"/>
                      <a:ext cx="499745" cy="37846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bookmarkStart w:id="22" w:name="_GoBack"/>
      <w:bookmarkEnd w:id="22"/>
      <w:r>
        <w:rPr>
          <w:sz w:val="24"/>
        </w:rPr>
        <w:drawing>
          <wp:anchor distT="0" distB="0" distL="114300" distR="114300" simplePos="0" relativeHeight="251664384" behindDoc="0" locked="0" layoutInCell="1" allowOverlap="1">
            <wp:simplePos x="0" y="0"/>
            <wp:positionH relativeFrom="column">
              <wp:posOffset>1622425</wp:posOffset>
            </wp:positionH>
            <wp:positionV relativeFrom="paragraph">
              <wp:posOffset>94615</wp:posOffset>
            </wp:positionV>
            <wp:extent cx="618490" cy="447040"/>
            <wp:effectExtent l="0" t="0" r="3810" b="10160"/>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18490" cy="44704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939165</wp:posOffset>
            </wp:positionH>
            <wp:positionV relativeFrom="paragraph">
              <wp:posOffset>107315</wp:posOffset>
            </wp:positionV>
            <wp:extent cx="499745" cy="378460"/>
            <wp:effectExtent l="0" t="0" r="8255" b="254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pic:cNvPicPr>
                  </pic:nvPicPr>
                  <pic:blipFill>
                    <a:blip r:embed="rId6"/>
                    <a:stretch>
                      <a:fillRect/>
                    </a:stretch>
                  </pic:blipFill>
                  <pic:spPr>
                    <a:xfrm>
                      <a:off x="0" y="0"/>
                      <a:ext cx="499745" cy="37846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FEB446D"/>
    <w:rsid w:val="7CA20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2021-05-26T07:30:08Z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