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四川国锐工程设计有限公司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5" w:name="_GoBack" w:colFirst="3" w:colLast="3"/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bookmarkEnd w:id="5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设计：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委托书或中标通知书——项目前期技术交流——专业设计——施工图及评审——图纸修改——专家评审——根据评审意见修改图纸——提交施工图——资料归档——现场技术服务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咨询：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委托书或中标通知书——项目前期技术交流——专业咨询——项目可行性研究报告、项目建议书、项目申请报告等编制——专家评审——报告修改上报——资料归档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关键过程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：工程设计过程</w:t>
            </w:r>
            <w:r>
              <w:rPr>
                <w:rFonts w:hint="eastAsia"/>
                <w:b/>
                <w:sz w:val="20"/>
                <w:szCs w:val="22"/>
              </w:rPr>
              <w:t>，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工程设计过程</w:t>
            </w:r>
            <w:r>
              <w:rPr>
                <w:rFonts w:hint="eastAsia"/>
                <w:b/>
                <w:sz w:val="20"/>
                <w:szCs w:val="22"/>
              </w:rPr>
              <w:t>风险：顾客投诉。控制措施：设计和服务提供的管理程序。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固废排放、火灾等，通过管理方案和预防预案进行控制。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火灾、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触电</w:t>
            </w:r>
            <w:r>
              <w:rPr>
                <w:rFonts w:hint="eastAsia"/>
                <w:b/>
                <w:sz w:val="20"/>
                <w:szCs w:val="22"/>
              </w:rPr>
              <w:t>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</w:rPr>
              <w:t>建筑设计防火规范</w:t>
            </w:r>
            <w:r>
              <w:rPr>
                <w:rFonts w:hint="eastAsia"/>
                <w:b/>
                <w:sz w:val="20"/>
                <w:lang w:eastAsia="zh-CN"/>
              </w:rPr>
              <w:t>》GB 50016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lang w:eastAsia="zh-CN"/>
              </w:rPr>
              <w:t>2014、《建筑物防雷设计规范》GB 50057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lang w:eastAsia="zh-CN"/>
              </w:rPr>
              <w:t>2010、《室外给水设计规范》GB 50013-2006、《室外排水设计规范》</w:t>
            </w:r>
            <w:r>
              <w:rPr>
                <w:rFonts w:hint="eastAsia"/>
                <w:b/>
                <w:sz w:val="20"/>
                <w:lang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eastAsia="zh-CN"/>
              </w:rPr>
              <w:instrText xml:space="preserve"> HYPERLINK "http://www.csres.com/detail/122184.html" \t "http://www.csres.com/_blank" </w:instrText>
            </w:r>
            <w:r>
              <w:rPr>
                <w:rFonts w:hint="eastAsia"/>
                <w:b/>
                <w:sz w:val="20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eastAsia="zh-CN"/>
              </w:rPr>
              <w:t>GB 5001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  <w:lang w:eastAsia="zh-CN"/>
              </w:rPr>
              <w:t>-2006</w:t>
            </w:r>
            <w:r>
              <w:rPr>
                <w:rFonts w:hint="eastAsia"/>
                <w:b/>
                <w:sz w:val="20"/>
                <w:lang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、《石油化工企业设计防火规范》GB 50160-2008、《石油天然气工程设计防火规范》GB 50183-2015、《工业金属管道工程施工规范》GB 50235-2010、《输气管道工程设计规范》GB 50251-2015、《输油管道工程设计规范》GB 50253-2014、《工业设备及管道绝热工程设计规范》GB 50316-2000、《油田油气集输设计规范》GB 50350-2015、《给水排水制图标准》GB/T 50106-2010、《民用建筑供暖通风与空气调节设计规范》GB50736-2012等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术语、规范、参数等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99695</wp:posOffset>
            </wp:positionV>
            <wp:extent cx="323850" cy="335280"/>
            <wp:effectExtent l="0" t="0" r="0" b="762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120015</wp:posOffset>
            </wp:positionV>
            <wp:extent cx="323850" cy="335280"/>
            <wp:effectExtent l="0" t="0" r="0" b="762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2021.5.26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9E32B1"/>
    <w:rsid w:val="0CDD17C2"/>
    <w:rsid w:val="2E2C7206"/>
    <w:rsid w:val="52920DDC"/>
    <w:rsid w:val="56FC47BF"/>
    <w:rsid w:val="672027A8"/>
    <w:rsid w:val="73EF7465"/>
    <w:rsid w:val="78D37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2021-05-27T02:15:48Z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4AB9B76D18AB4BD6AACAAC4A89FB5A36</vt:lpwstr>
  </property>
</Properties>
</file>