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文树伟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伍光华   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EO: 5.3组织的岗位、职责和权限、6.2环境目标、6.1.2环境因素/危险源识别与评价、8.1运行策划和控制、8.2应急准备和响应，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E5.3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O5.3</w:t>
            </w:r>
          </w:p>
        </w:tc>
        <w:tc>
          <w:tcPr>
            <w:tcW w:w="10606" w:type="dxa"/>
          </w:tcPr>
          <w:p>
            <w:pPr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现场询问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负责人，本部门职责主要有：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A.负责本公司产品质量管理工作，将质检工作层层落实，持续改进产品质量，确保产品质量符合规定要求。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B.负责公司原材料进厂，半成品、产品出厂前的质量抽检工作。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C.负责组织编制公司内部的工艺作业指导书，对文件的适用性、合理性，并监督执行。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负责监视和测量装置的控制；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E.</w:t>
            </w:r>
            <w:r>
              <w:rPr>
                <w:sz w:val="24"/>
              </w:rPr>
              <w:t>负责产品的监视和测量；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sz w:val="24"/>
              </w:rPr>
              <w:t>F.负责不合格品的控制及</w:t>
            </w:r>
            <w:r>
              <w:rPr>
                <w:rFonts w:hint="eastAsia"/>
                <w:sz w:val="24"/>
              </w:rPr>
              <w:t>处置</w:t>
            </w:r>
          </w:p>
          <w:p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部门主要目标：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drawing>
                <wp:inline distT="0" distB="0" distL="114300" distR="114300">
                  <wp:extent cx="5505450" cy="1314450"/>
                  <wp:effectExtent l="0" t="0" r="6350" b="635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考核情况：经查202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1-4月</w:t>
            </w:r>
            <w:r>
              <w:rPr>
                <w:rFonts w:hAnsiTheme="minorEastAsia" w:eastAsiaTheme="minorEastAsia"/>
                <w:sz w:val="24"/>
                <w:szCs w:val="24"/>
              </w:rPr>
              <w:t>环境\职业健康安全目标分解考核表，各目标达成要求。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O6.1.2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AnsiTheme="minorEastAsia" w:eastAsiaTheme="minorEastAsia"/>
                <w:sz w:val="24"/>
                <w:szCs w:val="24"/>
              </w:rPr>
              <w:t>按照办公过程和检验过程对环境因素、危险源进行了辨识，辨识时考虑了三种时态：过去、现在和将来，和三种状态：正常、异常和紧急。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AnsiTheme="minorEastAsia" w:eastAsiaTheme="minorEastAsia"/>
                <w:sz w:val="24"/>
                <w:szCs w:val="24"/>
              </w:rPr>
              <w:t>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，识别了本部门在办公、检验等各有关过程的环境因素，包括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意外火灾、固体废弃物排放、生活垃圾的废弃、废水排放、电能的消耗</w:t>
            </w:r>
            <w:r>
              <w:rPr>
                <w:rFonts w:hAnsiTheme="minorEastAsia" w:eastAsiaTheme="minorEastAsia"/>
                <w:sz w:val="24"/>
                <w:szCs w:val="24"/>
              </w:rPr>
              <w:t>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查《重要环境因素清单》，涉及质检部有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控制措施：固废分类存放、垃圾等由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AnsiTheme="minorEastAsia" w:eastAsia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查质检部的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危险源识别及风险评价表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办公用电不当触电、热水烫伤、意外伤害、火灾</w:t>
            </w:r>
            <w:r>
              <w:rPr>
                <w:rFonts w:hAnsiTheme="minorEastAsia" w:eastAsiaTheme="minorEastAsia"/>
                <w:sz w:val="24"/>
                <w:szCs w:val="24"/>
              </w:rPr>
              <w:t>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查《不可接受风险清单》，涉及本部门的有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个不可接受风险，包括：潜在火灾、触电事故发生。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E8.1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>
            <w:pPr>
              <w:pStyle w:val="4"/>
              <w:bidi w:val="0"/>
              <w:spacing w:line="360" w:lineRule="auto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检验人员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4"/>
                <w:szCs w:val="24"/>
              </w:rPr>
              <w:t>正在进行</w:t>
            </w:r>
            <w:r>
              <w:rPr>
                <w:b w:val="0"/>
                <w:bCs/>
                <w:color w:val="auto"/>
                <w:sz w:val="24"/>
                <w:szCs w:val="24"/>
              </w:rPr>
              <w:t>预拌混凝土的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穿戴手套、口罩、工作服等防护用品进行作业，检验设备主要为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自动加压混凝土抗渗仪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电子天平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电子配料秤、水泥砼恒温恒温标准养护箱、混凝土回弹仪、砂浆凝结时间测定仪、全自动双表面积测定仪等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，询问相关员工安全意识及作业要求，经过了培训相关安全意识及作业培训，能熟练回答相关要求，与作业要求及注意事项一致，能知悉工作中相关的主要危险源及防护要求。查看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区域内另有干燥箱、节能炉等检验设备，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4"/>
                <w:szCs w:val="24"/>
              </w:rPr>
              <w:t>各设备设施安装稳固，有安全警示标识，风险告知，设备运行噪音轻微，制订了相关作业指导书及注意事项。区域内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现场电线布线合理，电线均处于完好状态，状态良好，电器有漏电保护器，经常对电路、电源进行检查，没有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漏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员工饮用水为纯净水通过饮水机饮用。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员工到车间检验时注意滑倒、碰伤、机械伤害、坠落，遵守车间的环保和安全管理制度，禁止吸烟，穿戴劳保用品。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E8.2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触电、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机械伤害应急预案等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实验室全体人员参加了由办公室举行应急演练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见办公室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详细过程记录。</w:t>
            </w:r>
          </w:p>
          <w:p>
            <w:pPr>
              <w:pStyle w:val="25"/>
              <w:ind w:firstLine="260" w:firstLineChars="1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疫情预案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》，通过视频看到公司已经恢复生产，员工佩带口罩在岗位上操作，进出厂区测量体温，严格按政府和预案的要求执行。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rPr>
          <w:rFonts w:eastAsiaTheme="minorEastAsia"/>
        </w:rPr>
      </w:pPr>
      <w:bookmarkStart w:id="0" w:name="_GoBack"/>
      <w:bookmarkEnd w:id="0"/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20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2B21"/>
    <w:rsid w:val="00074F39"/>
    <w:rsid w:val="00082216"/>
    <w:rsid w:val="00082398"/>
    <w:rsid w:val="000849D2"/>
    <w:rsid w:val="00084DAD"/>
    <w:rsid w:val="000870FB"/>
    <w:rsid w:val="00094791"/>
    <w:rsid w:val="000A067A"/>
    <w:rsid w:val="000A198C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37ED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1F33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B75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529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8EF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67E73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42EF"/>
    <w:rsid w:val="004D55E7"/>
    <w:rsid w:val="004D62EF"/>
    <w:rsid w:val="004D7A97"/>
    <w:rsid w:val="004E212C"/>
    <w:rsid w:val="004E3079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12E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0B40"/>
    <w:rsid w:val="00611393"/>
    <w:rsid w:val="00615924"/>
    <w:rsid w:val="00621E88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42C7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32D4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0562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3758"/>
    <w:rsid w:val="008154B0"/>
    <w:rsid w:val="00815AF5"/>
    <w:rsid w:val="008160E3"/>
    <w:rsid w:val="00827CD6"/>
    <w:rsid w:val="008343CB"/>
    <w:rsid w:val="00834F70"/>
    <w:rsid w:val="00835B31"/>
    <w:rsid w:val="0084500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67602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2114B"/>
    <w:rsid w:val="00A33BB2"/>
    <w:rsid w:val="00A348F4"/>
    <w:rsid w:val="00A378F6"/>
    <w:rsid w:val="00A41F32"/>
    <w:rsid w:val="00A50B4B"/>
    <w:rsid w:val="00A51349"/>
    <w:rsid w:val="00A57E86"/>
    <w:rsid w:val="00A61ED7"/>
    <w:rsid w:val="00A6454E"/>
    <w:rsid w:val="00A64722"/>
    <w:rsid w:val="00A67020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1142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1A86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4616E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3FEF"/>
    <w:rsid w:val="00B95B99"/>
    <w:rsid w:val="00B95F69"/>
    <w:rsid w:val="00BA435D"/>
    <w:rsid w:val="00BA4EA8"/>
    <w:rsid w:val="00BA5B19"/>
    <w:rsid w:val="00BB0434"/>
    <w:rsid w:val="00BC0122"/>
    <w:rsid w:val="00BC2015"/>
    <w:rsid w:val="00BC635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27010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A5619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0A75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194C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95E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5F7"/>
    <w:rsid w:val="00EB0164"/>
    <w:rsid w:val="00EB5DF5"/>
    <w:rsid w:val="00EB5E09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EF43DE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77760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7A25768"/>
    <w:rsid w:val="108219C2"/>
    <w:rsid w:val="13FF66C8"/>
    <w:rsid w:val="200A4BAD"/>
    <w:rsid w:val="4A7271E7"/>
    <w:rsid w:val="5EA12B9A"/>
    <w:rsid w:val="700C5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jc w:val="left"/>
      <w:outlineLvl w:val="2"/>
    </w:pPr>
    <w:rPr>
      <w:rFonts w:hint="eastAsia" w:ascii="宋体" w:hAnsi="宋体"/>
      <w:b/>
      <w:kern w:val="0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"/>
    <w:basedOn w:val="1"/>
    <w:link w:val="24"/>
    <w:unhideWhenUsed/>
    <w:qFormat/>
    <w:uiPriority w:val="99"/>
    <w:pPr>
      <w:spacing w:line="420" w:lineRule="exact"/>
    </w:pPr>
    <w:rPr>
      <w:sz w:val="24"/>
    </w:rPr>
  </w:style>
  <w:style w:type="paragraph" w:styleId="7">
    <w:name w:val="Plain Text"/>
    <w:basedOn w:val="1"/>
    <w:link w:val="26"/>
    <w:qFormat/>
    <w:uiPriority w:val="0"/>
    <w:rPr>
      <w:rFonts w:ascii="宋体" w:hAnsi="Courier New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Title"/>
    <w:basedOn w:val="1"/>
    <w:link w:val="27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2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3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正文文本 Char"/>
    <w:basedOn w:val="15"/>
    <w:link w:val="6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6">
    <w:name w:val="纯文本 Char"/>
    <w:basedOn w:val="15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标题 Char"/>
    <w:basedOn w:val="15"/>
    <w:link w:val="12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styleId="2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标题 1 Char"/>
    <w:basedOn w:val="15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31">
    <w:name w:val="标题 3 Char"/>
    <w:basedOn w:val="15"/>
    <w:link w:val="4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2">
    <w:name w:val="tpb_aitit2"/>
    <w:basedOn w:val="1"/>
    <w:qFormat/>
    <w:uiPriority w:val="0"/>
    <w:pPr>
      <w:jc w:val="left"/>
    </w:pPr>
    <w:rPr>
      <w:kern w:val="0"/>
      <w:szCs w:val="24"/>
    </w:rPr>
  </w:style>
  <w:style w:type="character" w:customStyle="1" w:styleId="33">
    <w:name w:val="con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2024</Characters>
  <Lines>16</Lines>
  <Paragraphs>4</Paragraphs>
  <TotalTime>21</TotalTime>
  <ScaleCrop>false</ScaleCrop>
  <LinksUpToDate>false</LinksUpToDate>
  <CharactersWithSpaces>2374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2021-05-25T02:54:54Z</dcterms:modified>
  <cp:revision>1022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D3E29712940D474F97A951E791399566</vt:lpwstr>
  </property>
</Properties>
</file>