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D9D5" w14:textId="77777777" w:rsidR="00BF25A4" w:rsidRDefault="003B1A1A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046F7E80" w14:textId="77777777" w:rsidR="00BF25A4" w:rsidRDefault="003B1A1A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76"/>
        <w:gridCol w:w="1054"/>
        <w:gridCol w:w="1290"/>
        <w:gridCol w:w="1505"/>
        <w:gridCol w:w="1720"/>
        <w:gridCol w:w="1379"/>
      </w:tblGrid>
      <w:tr w:rsidR="00191E56" w14:paraId="7FADB25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445497DE" w14:textId="77777777" w:rsidR="00BF25A4" w:rsidRDefault="003B1A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7C52EF4B" w14:textId="77777777" w:rsidR="00BF25A4" w:rsidRDefault="003B1A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浙江鼎清环境检测技术有限公司</w:t>
            </w:r>
            <w:bookmarkEnd w:id="3"/>
          </w:p>
        </w:tc>
        <w:tc>
          <w:tcPr>
            <w:tcW w:w="1720" w:type="dxa"/>
            <w:vAlign w:val="center"/>
          </w:tcPr>
          <w:p w14:paraId="14B313AC" w14:textId="77777777" w:rsidR="00BF25A4" w:rsidRDefault="003B1A1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3506780A" w14:textId="77777777" w:rsidR="00BF25A4" w:rsidRDefault="003B1A1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5437E735" w14:textId="77777777" w:rsidR="00BF25A4" w:rsidRDefault="003B1A1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34.02.00</w:t>
            </w:r>
            <w:bookmarkEnd w:id="4"/>
          </w:p>
        </w:tc>
      </w:tr>
      <w:tr w:rsidR="00191E56" w14:paraId="2951BF39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459FCEDB" w14:textId="77777777" w:rsidR="00BF25A4" w:rsidRDefault="003B1A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ECF8F30" w14:textId="0BDBA29B" w:rsidR="00BF25A4" w:rsidRDefault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1BB4DFEF" w14:textId="77777777" w:rsidR="00BF25A4" w:rsidRDefault="003B1A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4FF8FD9" w14:textId="2C52A77D" w:rsidR="00BF25A4" w:rsidRDefault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7464D"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 w14:paraId="5B3E17E6" w14:textId="77777777" w:rsidR="00BF25A4" w:rsidRDefault="003B1A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7827C8DD" w14:textId="03F9C3E4" w:rsidR="00BF25A4" w:rsidRDefault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91E56" w14:paraId="1A039CFA" w14:textId="77777777" w:rsidTr="00A7464D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021A7C7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E4E5D" w14:textId="77777777" w:rsidR="00BF25A4" w:rsidRDefault="003B1A1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14:paraId="19813428" w14:textId="3DF1CB3B" w:rsidR="00BF25A4" w:rsidRDefault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00E5E12" wp14:editId="6612DCAE">
                  <wp:extent cx="475564" cy="29326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97" cy="2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vAlign w:val="center"/>
          </w:tcPr>
          <w:p w14:paraId="0CBAAB5D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04CD78A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EF5B148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29F0394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959183C" w14:textId="77777777" w:rsidR="00BF25A4" w:rsidRDefault="003B1A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7464D" w14:paraId="176CFD5B" w14:textId="77777777" w:rsidTr="00A7464D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7A9DADF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6A3E4B64" w14:textId="77777777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14:paraId="72DF25E0" w14:textId="5C163748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7464D">
              <w:rPr>
                <w:b/>
                <w:sz w:val="20"/>
              </w:rPr>
              <w:t>34.02.00</w:t>
            </w:r>
          </w:p>
        </w:tc>
        <w:tc>
          <w:tcPr>
            <w:tcW w:w="1054" w:type="dxa"/>
            <w:vAlign w:val="center"/>
          </w:tcPr>
          <w:p w14:paraId="75BCE773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B082853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2FFFA9B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13DC8EE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A5203EA" w14:textId="77777777" w:rsidR="00A7464D" w:rsidRDefault="00A7464D" w:rsidP="00A746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7464D" w14:paraId="0DFEA5B9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B403B43" w14:textId="77777777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7A2E63CF" w14:textId="77777777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60B800AC" w14:textId="153820C8" w:rsidR="00A7464D" w:rsidRDefault="00A7464D" w:rsidP="00A7464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1024EC">
              <w:rPr>
                <w:rFonts w:hint="eastAsia"/>
                <w:b/>
                <w:sz w:val="20"/>
              </w:rPr>
              <w:t>接受客户委托</w:t>
            </w:r>
            <w:r w:rsidRPr="001024EC">
              <w:rPr>
                <w:rFonts w:hint="eastAsia"/>
                <w:b/>
                <w:sz w:val="20"/>
              </w:rPr>
              <w:t xml:space="preserve"> - </w:t>
            </w:r>
            <w:r w:rsidRPr="001024EC">
              <w:rPr>
                <w:rFonts w:hint="eastAsia"/>
                <w:b/>
                <w:sz w:val="20"/>
              </w:rPr>
              <w:t>制定检测方案开检测任务单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接受检测、采样任务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准备检测、采样设备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实验室检测、现场检测、采样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数据处理</w:t>
            </w:r>
            <w:r w:rsidRPr="001024EC">
              <w:rPr>
                <w:rFonts w:hint="eastAsia"/>
                <w:b/>
                <w:sz w:val="20"/>
              </w:rPr>
              <w:t xml:space="preserve"> -</w:t>
            </w:r>
            <w:r w:rsidRPr="001024EC">
              <w:rPr>
                <w:rFonts w:hint="eastAsia"/>
                <w:b/>
                <w:sz w:val="20"/>
              </w:rPr>
              <w:t>编制结果报告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数据复核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报告校核</w:t>
            </w:r>
            <w:r w:rsidRPr="001024EC">
              <w:rPr>
                <w:rFonts w:hint="eastAsia"/>
                <w:b/>
                <w:sz w:val="20"/>
              </w:rPr>
              <w:t xml:space="preserve"> -</w:t>
            </w:r>
            <w:r w:rsidRPr="001024EC">
              <w:rPr>
                <w:rFonts w:hint="eastAsia"/>
                <w:b/>
                <w:sz w:val="20"/>
              </w:rPr>
              <w:t>报告批准</w:t>
            </w:r>
            <w:r w:rsidRPr="001024EC">
              <w:rPr>
                <w:rFonts w:hint="eastAsia"/>
                <w:b/>
                <w:sz w:val="20"/>
              </w:rPr>
              <w:t>-</w:t>
            </w:r>
            <w:r w:rsidRPr="001024EC">
              <w:rPr>
                <w:rFonts w:hint="eastAsia"/>
                <w:b/>
                <w:sz w:val="20"/>
              </w:rPr>
              <w:t>报告发放、报告存档</w:t>
            </w:r>
          </w:p>
        </w:tc>
      </w:tr>
      <w:tr w:rsidR="00A7464D" w14:paraId="26469100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285882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FD87D2C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F46C3E4" w14:textId="77777777" w:rsidR="00A7464D" w:rsidRPr="008B4140" w:rsidRDefault="00A7464D" w:rsidP="00A746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58D609E6" w14:textId="672DB9DC" w:rsidR="00A7464D" w:rsidRDefault="00A7464D" w:rsidP="00A7464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产品检测服务过程为</w:t>
            </w:r>
            <w:r>
              <w:rPr>
                <w:rFonts w:hint="eastAsia"/>
                <w:b/>
                <w:sz w:val="20"/>
              </w:rPr>
              <w:t>一般为</w:t>
            </w:r>
            <w:r>
              <w:rPr>
                <w:rFonts w:hint="eastAsia"/>
                <w:b/>
                <w:sz w:val="20"/>
              </w:rPr>
              <w:t>特殊过程。主要通过对检测人员的能力、检测设备的能力、环境条件等进行确认，并编制检测人员、检测设备等管理规定方式进行控制，每年会通过比对等方式进行控制，确保检测结果满足客户要求。</w:t>
            </w:r>
          </w:p>
        </w:tc>
      </w:tr>
      <w:tr w:rsidR="00A7464D" w14:paraId="7ED5850C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357BAC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2AD66B0C" w14:textId="202F6FC5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7464D" w14:paraId="46D90D31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5E0775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1250F523" w14:textId="7299EE53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7464D" w14:paraId="6C3BF9EA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DBE39A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01B73369" w14:textId="1658EB61" w:rsidR="00A7464D" w:rsidRDefault="00A7464D" w:rsidP="00A7464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检测服务一般没有直接的服务标准，一般按照检测机构相关管理规范和要求执行。如</w:t>
            </w:r>
            <w:r w:rsidRPr="00E80BD0">
              <w:rPr>
                <w:rFonts w:hint="eastAsia"/>
                <w:b/>
                <w:sz w:val="20"/>
              </w:rPr>
              <w:t>检验检测机构资质认定管理办法</w:t>
            </w:r>
            <w:r>
              <w:rPr>
                <w:rFonts w:hint="eastAsia"/>
                <w:b/>
                <w:sz w:val="20"/>
              </w:rPr>
              <w:t>以及各检测对象的相关检验标准和规范等。如</w:t>
            </w:r>
            <w:r w:rsidRPr="00432C5B">
              <w:rPr>
                <w:rFonts w:hint="eastAsia"/>
                <w:b/>
                <w:sz w:val="20"/>
              </w:rPr>
              <w:t>中华人民共和国环保法、固体废物污染环境防治法、大气污染环境防治法，实验室仪器和设备质量检验规则</w:t>
            </w:r>
            <w:r w:rsidRPr="00432C5B">
              <w:rPr>
                <w:rFonts w:hint="eastAsia"/>
                <w:b/>
                <w:sz w:val="20"/>
              </w:rPr>
              <w:tab/>
              <w:t>GB/T 29252-2012</w:t>
            </w:r>
            <w:r w:rsidRPr="00432C5B"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JB/T3364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JB/T4318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J</w:t>
            </w:r>
            <w:r>
              <w:rPr>
                <w:b/>
                <w:sz w:val="20"/>
              </w:rPr>
              <w:t>B/T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182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B16454</w:t>
            </w:r>
            <w:r>
              <w:rPr>
                <w:rFonts w:hint="eastAsia"/>
                <w:b/>
                <w:sz w:val="20"/>
              </w:rPr>
              <w:t>等相关的法律法规</w:t>
            </w:r>
          </w:p>
        </w:tc>
      </w:tr>
      <w:tr w:rsidR="00A7464D" w14:paraId="19A565CC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EF7DBF" w14:textId="77777777" w:rsidR="00A7464D" w:rsidRDefault="00A7464D" w:rsidP="00A7464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25B7DCFC" w14:textId="6C4A9A37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7464D" w14:paraId="6BBE725E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3F0A10" w14:textId="77777777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0272088B" w14:textId="050B0FBE" w:rsidR="00A7464D" w:rsidRDefault="00A7464D" w:rsidP="00A746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计量器具管理相关要求、检验室管理相关规定要求。</w:t>
            </w:r>
            <w:r w:rsidRPr="00593074">
              <w:rPr>
                <w:rFonts w:hint="eastAsia"/>
                <w:b/>
                <w:sz w:val="20"/>
              </w:rPr>
              <w:t>审核技巧、沟通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</w:tbl>
    <w:p w14:paraId="043670FF" w14:textId="77777777" w:rsidR="00BF25A4" w:rsidRDefault="003B1A1A">
      <w:pPr>
        <w:snapToGrid w:val="0"/>
        <w:rPr>
          <w:rFonts w:ascii="宋体"/>
          <w:b/>
          <w:sz w:val="22"/>
          <w:szCs w:val="22"/>
        </w:rPr>
      </w:pPr>
    </w:p>
    <w:p w14:paraId="37999FF5" w14:textId="3B79A51E" w:rsidR="00BF25A4" w:rsidRDefault="003B1A1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A7464D">
        <w:rPr>
          <w:rFonts w:hint="eastAsia"/>
          <w:b/>
          <w:noProof/>
          <w:sz w:val="22"/>
          <w:szCs w:val="22"/>
          <w:lang w:val="zh-CN"/>
        </w:rPr>
        <w:drawing>
          <wp:inline distT="0" distB="0" distL="0" distR="0" wp14:anchorId="7F6AB55D" wp14:editId="3B3DD721">
            <wp:extent cx="679450" cy="3188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27" cy="32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7464D">
        <w:rPr>
          <w:rFonts w:ascii="宋体"/>
          <w:b/>
          <w:sz w:val="22"/>
          <w:szCs w:val="22"/>
        </w:rPr>
        <w:t>2021.5.24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A7464D">
        <w:rPr>
          <w:rFonts w:hint="eastAsia"/>
          <w:b/>
          <w:noProof/>
          <w:sz w:val="22"/>
          <w:szCs w:val="22"/>
          <w:lang w:val="zh-CN"/>
        </w:rPr>
        <w:drawing>
          <wp:inline distT="0" distB="0" distL="0" distR="0" wp14:anchorId="5CF8352C" wp14:editId="391CC0D6">
            <wp:extent cx="679450" cy="3188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27" cy="32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7464D">
        <w:rPr>
          <w:rFonts w:ascii="宋体"/>
          <w:b/>
          <w:sz w:val="22"/>
          <w:szCs w:val="22"/>
        </w:rPr>
        <w:t>2021.5.24</w:t>
      </w:r>
    </w:p>
    <w:p w14:paraId="1B9A521F" w14:textId="77777777" w:rsidR="00BF25A4" w:rsidRDefault="003B1A1A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A4D3A1E" w14:textId="77777777" w:rsidR="00BF25A4" w:rsidRDefault="003B1A1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6894" w14:textId="77777777" w:rsidR="003B1A1A" w:rsidRDefault="003B1A1A">
      <w:r>
        <w:separator/>
      </w:r>
    </w:p>
  </w:endnote>
  <w:endnote w:type="continuationSeparator" w:id="0">
    <w:p w14:paraId="4B0A2B44" w14:textId="77777777" w:rsidR="003B1A1A" w:rsidRDefault="003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BA57" w14:textId="77777777" w:rsidR="003B1A1A" w:rsidRDefault="003B1A1A">
      <w:r>
        <w:separator/>
      </w:r>
    </w:p>
  </w:footnote>
  <w:footnote w:type="continuationSeparator" w:id="0">
    <w:p w14:paraId="3CDBEFCA" w14:textId="77777777" w:rsidR="003B1A1A" w:rsidRDefault="003B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CE4A" w14:textId="77777777" w:rsidR="00632E1D" w:rsidRPr="00390345" w:rsidRDefault="003B1A1A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4CDFCC" wp14:editId="3032694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7EE392" w14:textId="77777777" w:rsidR="00632E1D" w:rsidRDefault="003B1A1A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8FCBB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9786EF1" w14:textId="77777777" w:rsidR="00632E1D" w:rsidRPr="000B51BD" w:rsidRDefault="003B1A1A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45ED2717" w14:textId="77777777" w:rsidR="00632E1D" w:rsidRDefault="003B1A1A" w:rsidP="00632E1D">
    <w:r>
      <w:rPr>
        <w:noProof/>
      </w:rPr>
      <w:pict w14:anchorId="32BCA0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E56"/>
    <w:rsid w:val="00191E56"/>
    <w:rsid w:val="003B1A1A"/>
    <w:rsid w:val="00A7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2EADEC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2021-05-28T23:38:00Z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