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rFonts w:hint="default" w:eastAsia="宋体"/>
                <w:sz w:val="24"/>
                <w:szCs w:val="24"/>
                <w:lang w:val="en-US" w:eastAsia="zh-CN"/>
              </w:rPr>
            </w:pPr>
            <w:r>
              <w:rPr>
                <w:rFonts w:hint="eastAsia"/>
                <w:sz w:val="24"/>
                <w:szCs w:val="24"/>
              </w:rPr>
              <w:t xml:space="preserve">受审核部门：管理层 </w:t>
            </w:r>
            <w:r>
              <w:rPr>
                <w:sz w:val="24"/>
                <w:szCs w:val="24"/>
              </w:rPr>
              <w:t xml:space="preserve">   </w:t>
            </w:r>
            <w:r>
              <w:rPr>
                <w:rFonts w:hint="eastAsia"/>
                <w:sz w:val="24"/>
                <w:szCs w:val="24"/>
              </w:rPr>
              <w:t>总</w:t>
            </w:r>
            <w:r>
              <w:rPr>
                <w:rFonts w:hint="eastAsia"/>
                <w:sz w:val="24"/>
                <w:szCs w:val="24"/>
                <w:lang w:val="en-US" w:eastAsia="zh-CN"/>
              </w:rPr>
              <w:t>经理</w:t>
            </w:r>
            <w:r>
              <w:rPr>
                <w:rFonts w:hint="eastAsia"/>
                <w:sz w:val="24"/>
                <w:szCs w:val="24"/>
              </w:rPr>
              <w:t>：</w:t>
            </w:r>
            <w:r>
              <w:rPr>
                <w:rFonts w:hint="eastAsia"/>
                <w:sz w:val="24"/>
                <w:szCs w:val="24"/>
                <w:lang w:val="en-US" w:eastAsia="zh-CN"/>
              </w:rPr>
              <w:t xml:space="preserve">张水金 </w:t>
            </w:r>
            <w:r>
              <w:rPr>
                <w:rFonts w:hint="default"/>
                <w:sz w:val="24"/>
                <w:szCs w:val="24"/>
              </w:rPr>
              <w:t xml:space="preserve">  </w:t>
            </w:r>
            <w:r>
              <w:rPr>
                <w:rFonts w:hint="eastAsia"/>
                <w:sz w:val="24"/>
                <w:szCs w:val="24"/>
                <w:lang w:val="en-US" w:eastAsia="zh-CN"/>
              </w:rPr>
              <w:t>副总经理兼</w:t>
            </w:r>
            <w:r>
              <w:rPr>
                <w:rFonts w:hint="eastAsia"/>
                <w:sz w:val="24"/>
                <w:szCs w:val="24"/>
              </w:rPr>
              <w:t>管代：</w:t>
            </w:r>
            <w:r>
              <w:rPr>
                <w:rFonts w:hint="eastAsia"/>
                <w:sz w:val="24"/>
                <w:szCs w:val="24"/>
                <w:lang w:val="en-US" w:eastAsia="zh-CN"/>
              </w:rPr>
              <w:t>邹林</w:t>
            </w:r>
            <w:r>
              <w:rPr>
                <w:sz w:val="24"/>
                <w:szCs w:val="24"/>
              </w:rPr>
              <w:t xml:space="preserve">  </w:t>
            </w:r>
            <w:r>
              <w:rPr>
                <w:rFonts w:hint="eastAsia"/>
                <w:sz w:val="24"/>
                <w:szCs w:val="24"/>
                <w:lang w:val="en-US" w:eastAsia="zh-CN"/>
              </w:rPr>
              <w:t xml:space="preserve"> </w:t>
            </w:r>
            <w:r>
              <w:rPr>
                <w:rFonts w:hint="eastAsia"/>
                <w:sz w:val="24"/>
                <w:szCs w:val="24"/>
              </w:rPr>
              <w:t>陪同：</w:t>
            </w:r>
            <w:r>
              <w:rPr>
                <w:rFonts w:hint="eastAsia"/>
                <w:sz w:val="24"/>
                <w:szCs w:val="24"/>
                <w:lang w:val="en-US" w:eastAsia="zh-CN"/>
              </w:rPr>
              <w:t>陈玲玲</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审核员：</w:t>
            </w:r>
            <w:r>
              <w:rPr>
                <w:rFonts w:hint="eastAsia"/>
                <w:sz w:val="24"/>
                <w:szCs w:val="24"/>
                <w:lang w:val="en-US" w:eastAsia="zh-CN"/>
              </w:rPr>
              <w:t>张磊</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审核时间：20</w:t>
            </w:r>
            <w:r>
              <w:rPr>
                <w:sz w:val="24"/>
                <w:szCs w:val="24"/>
              </w:rPr>
              <w:t>21</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27</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pStyle w:val="2"/>
              <w:rPr>
                <w:rFonts w:hint="eastAsia" w:ascii="Arial" w:hAnsi="Arial" w:eastAsia="宋体" w:cs="Arial"/>
                <w:bCs w:val="0"/>
                <w:spacing w:val="0"/>
                <w:kern w:val="2"/>
                <w:sz w:val="21"/>
                <w:szCs w:val="22"/>
                <w:lang w:val="en-US" w:eastAsia="zh-CN" w:bidi="ar-SA"/>
              </w:rPr>
            </w:pPr>
            <w:r>
              <w:rPr>
                <w:rFonts w:hint="eastAsia" w:ascii="Arial" w:hAnsi="Arial" w:eastAsia="宋体" w:cs="Arial"/>
                <w:bCs w:val="0"/>
                <w:spacing w:val="0"/>
                <w:kern w:val="2"/>
                <w:sz w:val="21"/>
                <w:szCs w:val="22"/>
                <w:lang w:val="en-US" w:eastAsia="zh-CN" w:bidi="ar-SA"/>
              </w:rPr>
              <w:t>审核条款：</w:t>
            </w:r>
            <w:r>
              <w:rPr>
                <w:rFonts w:hint="eastAsia" w:ascii="Arial" w:hAnsi="Arial" w:cs="Arial"/>
                <w:bCs w:val="0"/>
                <w:spacing w:val="0"/>
                <w:kern w:val="2"/>
                <w:sz w:val="21"/>
                <w:szCs w:val="22"/>
                <w:lang w:val="en-US" w:eastAsia="zh-CN" w:bidi="ar-SA"/>
              </w:rPr>
              <w:t>O</w:t>
            </w:r>
            <w:r>
              <w:rPr>
                <w:rFonts w:hint="eastAsia" w:ascii="Arial" w:hAnsi="Arial" w:eastAsia="宋体" w:cs="Arial"/>
                <w:bCs w:val="0"/>
                <w:spacing w:val="0"/>
                <w:kern w:val="2"/>
                <w:sz w:val="21"/>
                <w:szCs w:val="22"/>
                <w:lang w:val="en-US" w:eastAsia="zh-CN" w:bidi="ar-SA"/>
              </w:rPr>
              <w:t>4.1/4.2/4.3/4.4/5.1/5.2/5.3/</w:t>
            </w:r>
            <w:r>
              <w:rPr>
                <w:rFonts w:hint="eastAsia" w:ascii="Arial" w:hAnsi="Arial" w:cs="Arial"/>
                <w:bCs w:val="0"/>
                <w:spacing w:val="0"/>
                <w:kern w:val="2"/>
                <w:sz w:val="21"/>
                <w:szCs w:val="22"/>
                <w:lang w:val="en-US" w:eastAsia="zh-CN" w:bidi="ar-SA"/>
              </w:rPr>
              <w:t>5.4/</w:t>
            </w:r>
            <w:r>
              <w:rPr>
                <w:rFonts w:hint="eastAsia" w:ascii="Arial" w:hAnsi="Arial" w:eastAsia="宋体" w:cs="Arial"/>
                <w:bCs w:val="0"/>
                <w:spacing w:val="0"/>
                <w:kern w:val="2"/>
                <w:sz w:val="21"/>
                <w:szCs w:val="22"/>
                <w:lang w:val="en-US" w:eastAsia="zh-CN" w:bidi="ar-SA"/>
              </w:rPr>
              <w:t>6.1/</w:t>
            </w:r>
            <w:r>
              <w:rPr>
                <w:rFonts w:hint="eastAsia" w:ascii="Arial" w:hAnsi="Arial" w:cs="Arial"/>
                <w:bCs w:val="0"/>
                <w:spacing w:val="0"/>
                <w:kern w:val="2"/>
                <w:sz w:val="21"/>
                <w:szCs w:val="22"/>
                <w:lang w:val="en-US" w:eastAsia="zh-CN" w:bidi="ar-SA"/>
              </w:rPr>
              <w:t>6.1.4/</w:t>
            </w:r>
            <w:r>
              <w:rPr>
                <w:rFonts w:hint="eastAsia" w:ascii="Arial" w:hAnsi="Arial" w:eastAsia="宋体" w:cs="Arial"/>
                <w:bCs w:val="0"/>
                <w:spacing w:val="0"/>
                <w:kern w:val="2"/>
                <w:sz w:val="21"/>
                <w:szCs w:val="22"/>
                <w:lang w:val="en-US" w:eastAsia="zh-CN" w:bidi="ar-SA"/>
              </w:rPr>
              <w:t>6.2/7.1/9.1/9.3/10.1/10.3</w:t>
            </w:r>
          </w:p>
          <w:p>
            <w:pPr>
              <w:pStyle w:val="2"/>
              <w:rPr>
                <w:rFonts w:ascii="宋体" w:hAnsi="宋体"/>
                <w:sz w:val="18"/>
              </w:rPr>
            </w:pPr>
            <w:r>
              <w:rPr>
                <w:rFonts w:hint="eastAsia" w:ascii="Arial" w:hAnsi="Arial" w:eastAsia="宋体" w:cs="Arial"/>
                <w:bCs w:val="0"/>
                <w:spacing w:val="0"/>
                <w:kern w:val="2"/>
                <w:sz w:val="21"/>
                <w:szCs w:val="22"/>
                <w:lang w:val="en-US" w:eastAsia="zh-CN" w:bidi="ar-SA"/>
              </w:rPr>
              <w:t>资质验证/范围再确认/一阶段问题验证/投诉或事故/政府主管部门监督抽查情况</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华文中宋" w:hAnsi="华文中宋" w:eastAsia="华文中宋" w:cs="华文中宋"/>
                <w:szCs w:val="21"/>
                <w:lang w:val="en-US" w:eastAsia="zh-CN"/>
              </w:rPr>
              <w:t xml:space="preserve">O </w:t>
            </w:r>
            <w:r>
              <w:rPr>
                <w:rFonts w:hint="eastAsia" w:ascii="宋体" w:hAnsi="宋体" w:cs="宋体"/>
                <w:szCs w:val="21"/>
              </w:rPr>
              <w:t>4.1</w:t>
            </w:r>
          </w:p>
          <w:p>
            <w:pPr>
              <w:spacing w:line="280" w:lineRule="exact"/>
            </w:pPr>
          </w:p>
        </w:tc>
        <w:tc>
          <w:tcPr>
            <w:tcW w:w="10642" w:type="dxa"/>
            <w:vAlign w:val="center"/>
          </w:tcPr>
          <w:p>
            <w:pPr>
              <w:autoSpaceDE w:val="0"/>
              <w:autoSpaceDN w:val="0"/>
              <w:adjustRightInd w:val="0"/>
              <w:spacing w:line="360" w:lineRule="auto"/>
              <w:ind w:firstLine="480"/>
              <w:rPr>
                <w:rFonts w:hint="eastAsia"/>
                <w:szCs w:val="22"/>
                <w:lang w:val="en-US" w:eastAsia="zh-CN"/>
              </w:rPr>
            </w:pPr>
            <w:r>
              <w:rPr>
                <w:rFonts w:hint="eastAsia"/>
                <w:szCs w:val="22"/>
                <w:lang w:val="en-US" w:eastAsia="zh-CN"/>
              </w:rPr>
              <w:t>江西青桔信息科技有限公司成立于 2017 年 10 月 11 日，于 2020 年 4 月 10 日取得乙级资质。属于有限责任公司。公司现有在职职工 25人，各类专业技术人员 17人，其中注册测绘师 2人、高级职称 3 人，中级职称 9人，助理工程师4人。公司目前注册资金 588 万元，办公面积 300 多平方。拥有完善的核心测量装备体系，具有各种型号 RTK-DGPS 接收机、电子水准仪、全站仪、测深仪等工程测量设备几十台，多年来公司测绘产业以高效、优质的服务受到用户一致好评，同时在巩固传统测绘业务的基础上，引入了高端无人机遥感技术、能专业的拍摄正射，倾斜包括建模出图一条龙技术服务。“互联网+”等新技术，突破了土地规划等许多新领域，参与了《农村土地承包经营权确权登记》《规划测量》《房地一体的农村集体建设用地和宅基地使用权确权登记发证》《数字城市》《全国第三次土地调查》、多测合一、拆迁测量、高标准农田测量、用地报批等国家和地方重点项目建设，开启了多元化测绘产业发展新局面。经过多年积累得到了长足的发展。积极转型升级，在积极拓展测绘工作的新领域，努力赢得先发优势。 </w:t>
            </w:r>
          </w:p>
          <w:p>
            <w:pPr>
              <w:autoSpaceDE w:val="0"/>
              <w:autoSpaceDN w:val="0"/>
              <w:adjustRightInd w:val="0"/>
              <w:spacing w:line="360" w:lineRule="auto"/>
              <w:ind w:firstLine="480"/>
              <w:rPr>
                <w:rFonts w:hint="eastAsia"/>
                <w:szCs w:val="22"/>
                <w:lang w:val="en-US" w:eastAsia="zh-CN"/>
              </w:rPr>
            </w:pPr>
            <w:r>
              <w:rPr>
                <w:rFonts w:hint="eastAsia"/>
                <w:szCs w:val="22"/>
                <w:lang w:val="en-US" w:eastAsia="zh-CN"/>
              </w:rPr>
              <w:t>管理手册QJ-SC-2020，实施、发布日期：2020年9月1日。</w:t>
            </w:r>
          </w:p>
          <w:p>
            <w:pPr>
              <w:ind w:firstLine="420" w:firstLineChars="200"/>
            </w:pPr>
            <w:r>
              <w:rPr>
                <w:rFonts w:hint="eastAsia"/>
              </w:rPr>
              <w:t>确认认证范围</w:t>
            </w:r>
          </w:p>
          <w:p>
            <w:pPr>
              <w:autoSpaceDE w:val="0"/>
              <w:autoSpaceDN w:val="0"/>
              <w:adjustRightInd w:val="0"/>
              <w:spacing w:line="360" w:lineRule="auto"/>
              <w:ind w:firstLine="480"/>
              <w:rPr>
                <w:rFonts w:hint="eastAsia"/>
              </w:rPr>
            </w:pPr>
            <w:r>
              <w:rPr>
                <w:rFonts w:hint="eastAsia"/>
              </w:rPr>
              <w:t>O：测绘航空摄影、影测量与遥感、工程测量、地理信息系统工程、不动产测绘、地图编制、土地规划（限资质范围内）所涉及场所的相关职业健康安全管理活动</w:t>
            </w:r>
          </w:p>
          <w:p>
            <w:pPr>
              <w:autoSpaceDE w:val="0"/>
              <w:autoSpaceDN w:val="0"/>
              <w:adjustRightInd w:val="0"/>
              <w:spacing w:line="360" w:lineRule="auto"/>
              <w:ind w:firstLine="480"/>
            </w:pPr>
            <w:r>
              <w:rPr>
                <w:rFonts w:hint="eastAsia"/>
              </w:rPr>
              <w:t>公司建立和保持QJ-CX-01-2020《组织环境与相关方要求管理程序》，</w:t>
            </w:r>
            <w:r>
              <w:rPr>
                <w:rFonts w:hint="eastAsia"/>
                <w:lang w:val="en-US" w:eastAsia="zh-CN"/>
              </w:rPr>
              <w:t>总经理</w:t>
            </w:r>
            <w:r>
              <w:rPr>
                <w:rFonts w:hint="eastAsia"/>
              </w:rPr>
              <w:t>应确定与本公司质量/环境/职业健康安全目标和战略方向相关并影响实现质量/环境/职业健康安全管理体系预期结果的各种内部因素（公司的价值观、文化、知识、绩效等因素）和外部因素（国际、国家、地区和当地的各种法律法规、技术、竞争、文化和社会因素等）。这些因素可以包括需要考虑的正面和负面因素或条件。</w:t>
            </w:r>
          </w:p>
          <w:p>
            <w:pPr>
              <w:autoSpaceDE w:val="0"/>
              <w:autoSpaceDN w:val="0"/>
              <w:adjustRightInd w:val="0"/>
              <w:spacing w:line="360" w:lineRule="auto"/>
              <w:ind w:firstLine="480"/>
              <w:rPr>
                <w:rFonts w:hint="eastAsia"/>
                <w:szCs w:val="22"/>
                <w:highlight w:val="none"/>
              </w:rPr>
            </w:pPr>
            <w:r>
              <w:rPr>
                <w:rFonts w:hint="eastAsia"/>
                <w:szCs w:val="22"/>
              </w:rPr>
              <w:t>本公司定期对这些内部和外部因素的相关信息进行监视和评审，以确保其充分和适宜。</w:t>
            </w:r>
            <w:r>
              <w:rPr>
                <w:rFonts w:hint="default"/>
                <w:szCs w:val="22"/>
              </w:rPr>
              <w:t>总裁</w:t>
            </w:r>
            <w:r>
              <w:rPr>
                <w:rFonts w:hint="eastAsia"/>
                <w:szCs w:val="22"/>
              </w:rPr>
              <w:t>及公司的管理层对以上方面的相关信息进行监视和</w:t>
            </w:r>
            <w:r>
              <w:rPr>
                <w:rFonts w:hint="eastAsia"/>
                <w:szCs w:val="22"/>
                <w:highlight w:val="none"/>
              </w:rPr>
              <w:t>评审，以便适时做出调整，使之更加适用于公司的实际情况。</w:t>
            </w:r>
          </w:p>
          <w:p>
            <w:pPr>
              <w:autoSpaceDE w:val="0"/>
              <w:autoSpaceDN w:val="0"/>
              <w:adjustRightInd w:val="0"/>
              <w:spacing w:line="360" w:lineRule="auto"/>
              <w:ind w:firstLine="480"/>
              <w:rPr>
                <w:rFonts w:hint="default"/>
              </w:rPr>
            </w:pPr>
            <w:r>
              <w:rPr>
                <w:rFonts w:hint="default"/>
                <w:szCs w:val="22"/>
                <w:highlight w:val="none"/>
              </w:rPr>
              <w:t>查提供</w:t>
            </w:r>
            <w:r>
              <w:rPr>
                <w:rFonts w:hint="eastAsia"/>
                <w:szCs w:val="22"/>
                <w:highlight w:val="none"/>
                <w:lang w:val="en-US" w:eastAsia="zh-CN"/>
              </w:rPr>
              <w:t>江西青桔信息科技有限公司</w:t>
            </w:r>
            <w:r>
              <w:rPr>
                <w:rFonts w:hint="default"/>
                <w:szCs w:val="22"/>
                <w:highlight w:val="none"/>
              </w:rPr>
              <w:t>《组织环境识别表》，有优势、劣势、机会、威胁分析及相关策略，编制：</w:t>
            </w:r>
            <w:r>
              <w:rPr>
                <w:rFonts w:hint="eastAsia"/>
                <w:szCs w:val="22"/>
                <w:highlight w:val="none"/>
                <w:lang w:val="en-US" w:eastAsia="zh-CN"/>
              </w:rPr>
              <w:t>陈玲玲</w:t>
            </w:r>
            <w:r>
              <w:rPr>
                <w:rFonts w:hint="default"/>
                <w:szCs w:val="22"/>
                <w:highlight w:val="none"/>
              </w:rPr>
              <w:t>，审批：张水金，2020.12.11。</w:t>
            </w:r>
          </w:p>
        </w:tc>
        <w:tc>
          <w:tcPr>
            <w:tcW w:w="895"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3"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华文中宋" w:hAnsi="华文中宋" w:eastAsia="华文中宋" w:cs="华文中宋"/>
                <w:szCs w:val="21"/>
                <w:lang w:val="en-US" w:eastAsia="zh-CN"/>
              </w:rPr>
              <w:t xml:space="preserve">O </w:t>
            </w:r>
            <w:r>
              <w:rPr>
                <w:rFonts w:hint="eastAsia" w:ascii="宋体" w:hAnsi="宋体" w:cs="宋体"/>
                <w:szCs w:val="21"/>
              </w:rPr>
              <w:t>4.2</w:t>
            </w:r>
          </w:p>
          <w:p>
            <w:pPr>
              <w:spacing w:line="280" w:lineRule="exact"/>
            </w:pPr>
          </w:p>
        </w:tc>
        <w:tc>
          <w:tcPr>
            <w:tcW w:w="10642" w:type="dxa"/>
            <w:vAlign w:val="center"/>
          </w:tcPr>
          <w:p>
            <w:pPr>
              <w:autoSpaceDE w:val="0"/>
              <w:autoSpaceDN w:val="0"/>
              <w:adjustRightInd w:val="0"/>
              <w:spacing w:line="360" w:lineRule="auto"/>
            </w:pPr>
            <w:r>
              <w:rPr>
                <w:rFonts w:hint="eastAsia"/>
              </w:rPr>
              <w:t>总</w:t>
            </w:r>
            <w:r>
              <w:rPr>
                <w:rFonts w:hint="eastAsia"/>
                <w:lang w:val="en-US" w:eastAsia="zh-CN"/>
              </w:rPr>
              <w:t>经理</w:t>
            </w:r>
            <w:r>
              <w:rPr>
                <w:rFonts w:hint="eastAsia"/>
              </w:rPr>
              <w:t>及管理层在考虑相关方对公司提供符合顾客要求和适用法律法规要求的产品和服务的能力产生影响或潜在影响时，结合公司的实际情况，确定与质量/环境/职业健康安全管理体系有关的相关方，并确定其要求。公司建立和保持《组织环境与相关方要求管理程序》</w:t>
            </w:r>
            <w:r>
              <w:rPr>
                <w:rFonts w:hint="eastAsia" w:ascii="宋体" w:hAnsi="宋体" w:cs="宋体"/>
                <w:szCs w:val="21"/>
                <w:lang w:eastAsia="zh-CN"/>
              </w:rPr>
              <w:t>（</w:t>
            </w:r>
            <w:r>
              <w:rPr>
                <w:rFonts w:hint="eastAsia"/>
              </w:rPr>
              <w:t>QJ-CX-01-2020</w:t>
            </w:r>
            <w:r>
              <w:rPr>
                <w:rFonts w:hint="eastAsia" w:ascii="宋体" w:hAnsi="宋体" w:cs="宋体"/>
                <w:szCs w:val="21"/>
                <w:lang w:eastAsia="zh-CN"/>
              </w:rPr>
              <w:t>）</w:t>
            </w:r>
            <w:r>
              <w:rPr>
                <w:rFonts w:hint="eastAsia"/>
              </w:rPr>
              <w:t>，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pPr>
              <w:autoSpaceDE w:val="0"/>
              <w:autoSpaceDN w:val="0"/>
              <w:adjustRightInd w:val="0"/>
              <w:spacing w:line="360" w:lineRule="auto"/>
            </w:pPr>
            <w:bookmarkStart w:id="0" w:name="_Toc475019994"/>
            <w:bookmarkStart w:id="1" w:name="_Toc475020125"/>
            <w:r>
              <w:rPr>
                <w:rFonts w:hint="eastAsia"/>
              </w:rPr>
              <w:t>与质量/环境/职业健康安全管理体系有关的相关方</w:t>
            </w:r>
            <w:bookmarkEnd w:id="0"/>
            <w:bookmarkEnd w:id="1"/>
            <w:r>
              <w:rPr>
                <w:rFonts w:hint="eastAsia"/>
              </w:rPr>
              <w:t>；</w:t>
            </w:r>
          </w:p>
          <w:p>
            <w:pPr>
              <w:autoSpaceDE w:val="0"/>
              <w:autoSpaceDN w:val="0"/>
              <w:adjustRightInd w:val="0"/>
              <w:spacing w:line="360" w:lineRule="auto"/>
            </w:pPr>
            <w:r>
              <w:rPr>
                <w:rFonts w:hint="eastAsia"/>
              </w:rPr>
              <w:t>公司的相关方包括：顾客、员工、银行、外部供应商、雇员及其他为组织工作者、法律法规及监管机关、非政府组织等。</w:t>
            </w:r>
          </w:p>
          <w:p>
            <w:pPr>
              <w:autoSpaceDE w:val="0"/>
              <w:autoSpaceDN w:val="0"/>
              <w:adjustRightInd w:val="0"/>
              <w:spacing w:line="360" w:lineRule="auto"/>
              <w:rPr>
                <w:rFonts w:hint="eastAsia"/>
              </w:rPr>
            </w:pPr>
            <w:r>
              <w:rPr>
                <w:rFonts w:hint="eastAsia"/>
              </w:rPr>
              <w:t>公司对这些相关方及其要求的相关信息进行监视和评审，理解和持续满足相关方的需求和期望。</w:t>
            </w:r>
          </w:p>
          <w:p>
            <w:pPr>
              <w:pStyle w:val="2"/>
              <w:rPr>
                <w:rFonts w:hint="eastAsia" w:eastAsia="宋体"/>
                <w:lang w:eastAsia="zh-CN"/>
              </w:rPr>
            </w:pPr>
            <w:r>
              <w:rPr>
                <w:rFonts w:hint="default" w:ascii="宋体" w:hAnsi="宋体" w:cs="宋体"/>
                <w:szCs w:val="21"/>
              </w:rPr>
              <w:t>查</w:t>
            </w:r>
            <w:r>
              <w:rPr>
                <w:rFonts w:hint="default" w:ascii="宋体" w:hAnsi="宋体" w:cs="宋体"/>
                <w:szCs w:val="21"/>
                <w:highlight w:val="none"/>
              </w:rPr>
              <w:t>提供《相关方的需求和期望清单》，识别有客户、供方、员工、</w:t>
            </w:r>
            <w:r>
              <w:rPr>
                <w:rFonts w:hint="default" w:ascii="宋体" w:hAnsi="宋体" w:cs="宋体"/>
                <w:szCs w:val="21"/>
              </w:rPr>
              <w:t>政府部门等相关方需求和期望</w:t>
            </w:r>
            <w:r>
              <w:rPr>
                <w:rFonts w:hint="eastAsia" w:ascii="宋体" w:hAnsi="宋体" w:cs="宋体"/>
                <w:szCs w:val="21"/>
                <w:lang w:eastAsia="zh-CN"/>
              </w:rPr>
              <w:t>，</w:t>
            </w:r>
            <w:r>
              <w:rPr>
                <w:rFonts w:hint="eastAsia" w:ascii="宋体" w:hAnsi="宋体" w:cs="宋体"/>
                <w:szCs w:val="21"/>
                <w:lang w:val="en-US" w:eastAsia="zh-CN"/>
              </w:rPr>
              <w:t>并提供《相关方告知书》</w:t>
            </w:r>
            <w:r>
              <w:rPr>
                <w:rFonts w:hint="eastAsia" w:ascii="宋体" w:hAnsi="宋体" w:cs="宋体"/>
                <w:szCs w:val="21"/>
                <w:lang w:eastAsia="zh-CN"/>
              </w:rPr>
              <w:t>。</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lang w:val="en-US" w:eastAsia="zh-CN"/>
              </w:rPr>
              <w:t>O</w:t>
            </w:r>
            <w:r>
              <w:rPr>
                <w:rFonts w:hint="eastAsia" w:ascii="宋体" w:hAnsi="宋体" w:cs="宋体"/>
                <w:szCs w:val="21"/>
              </w:rPr>
              <w:t>4.3</w:t>
            </w:r>
          </w:p>
          <w:p>
            <w:pPr>
              <w:spacing w:line="280" w:lineRule="exact"/>
            </w:pPr>
          </w:p>
        </w:tc>
        <w:tc>
          <w:tcPr>
            <w:tcW w:w="10642" w:type="dxa"/>
            <w:vAlign w:val="center"/>
          </w:tcPr>
          <w:p>
            <w:pPr>
              <w:autoSpaceDE w:val="0"/>
              <w:autoSpaceDN w:val="0"/>
              <w:adjustRightInd w:val="0"/>
              <w:spacing w:line="360" w:lineRule="auto"/>
              <w:ind w:firstLine="480"/>
              <w:rPr>
                <w:rFonts w:hint="eastAsia"/>
                <w:szCs w:val="22"/>
              </w:rPr>
            </w:pPr>
            <w:r>
              <w:rPr>
                <w:rFonts w:hint="eastAsia"/>
                <w:szCs w:val="22"/>
              </w:rPr>
              <w:t>公司管理体系范围为：</w:t>
            </w:r>
          </w:p>
          <w:p>
            <w:pPr>
              <w:pStyle w:val="2"/>
              <w:rPr>
                <w:rFonts w:hint="eastAsia"/>
              </w:rPr>
            </w:pPr>
            <w:r>
              <w:rPr>
                <w:rFonts w:hint="eastAsia"/>
              </w:rPr>
              <w:t>测绘服务（测绘资质证书批准的专业范围）所涉及的江西省吉安市吉州区航盛大厦 A 座 27 层 06.07 室质量、环境、职业健康安全管理活动；</w:t>
            </w:r>
          </w:p>
          <w:p>
            <w:pPr>
              <w:autoSpaceDE w:val="0"/>
              <w:autoSpaceDN w:val="0"/>
              <w:adjustRightInd w:val="0"/>
              <w:spacing w:line="360" w:lineRule="auto"/>
              <w:ind w:firstLine="480"/>
              <w:rPr>
                <w:sz w:val="20"/>
              </w:rPr>
            </w:pPr>
            <w:r>
              <w:rPr>
                <w:rFonts w:hint="eastAsia"/>
                <w:szCs w:val="22"/>
              </w:rPr>
              <w:t>不适用</w:t>
            </w:r>
            <w:r>
              <w:rPr>
                <w:rFonts w:hint="default"/>
                <w:szCs w:val="22"/>
              </w:rPr>
              <w:t>说明</w:t>
            </w:r>
            <w:r>
              <w:rPr>
                <w:rFonts w:hint="eastAsia"/>
                <w:szCs w:val="22"/>
              </w:rPr>
              <w:t>：</w:t>
            </w:r>
            <w:r>
              <w:rPr>
                <w:rFonts w:hint="eastAsia"/>
                <w:szCs w:val="22"/>
                <w:lang w:val="en-US" w:eastAsia="zh-CN"/>
              </w:rPr>
              <w:t>企业按照客户要求提供测绘服务，不涉及Q8.3产品和服务的设计和开发条款</w:t>
            </w:r>
            <w:r>
              <w:rPr>
                <w:rFonts w:hint="eastAsia"/>
                <w:szCs w:val="22"/>
              </w:rPr>
              <w:t>。</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lang w:val="en-US" w:eastAsia="zh-CN"/>
              </w:rPr>
              <w:t>O</w:t>
            </w:r>
            <w:r>
              <w:rPr>
                <w:rFonts w:hint="eastAsia" w:ascii="宋体" w:hAnsi="宋体" w:cs="宋体"/>
                <w:szCs w:val="21"/>
              </w:rPr>
              <w:t>4.4</w:t>
            </w:r>
          </w:p>
          <w:p>
            <w:pPr>
              <w:spacing w:line="280" w:lineRule="exact"/>
            </w:pPr>
          </w:p>
        </w:tc>
        <w:tc>
          <w:tcPr>
            <w:tcW w:w="10642" w:type="dxa"/>
            <w:vAlign w:val="center"/>
          </w:tcPr>
          <w:p>
            <w:pPr>
              <w:spacing w:line="360" w:lineRule="auto"/>
              <w:ind w:firstLine="420" w:firstLineChars="200"/>
              <w:rPr>
                <w:rFonts w:ascii="宋体" w:hAnsi="宋体" w:cs="宋体"/>
                <w:szCs w:val="21"/>
              </w:rPr>
            </w:pPr>
            <w:r>
              <w:rPr>
                <w:rFonts w:hint="eastAsia" w:ascii="宋体" w:hAnsi="宋体" w:cs="宋体"/>
                <w:szCs w:val="21"/>
              </w:rPr>
              <w:t>该公司</w:t>
            </w:r>
            <w:r>
              <w:rPr>
                <w:rFonts w:hint="eastAsia" w:ascii="Arial" w:hAnsi="Arial" w:eastAsia="宋体" w:cs="Arial"/>
                <w:bCs w:val="0"/>
                <w:spacing w:val="0"/>
                <w:kern w:val="2"/>
                <w:sz w:val="21"/>
                <w:szCs w:val="22"/>
                <w:lang w:val="en-US" w:eastAsia="zh-CN" w:bidi="ar-SA"/>
              </w:rPr>
              <w:t>2020年</w:t>
            </w:r>
            <w:r>
              <w:rPr>
                <w:rFonts w:hint="eastAsia" w:ascii="Arial" w:hAnsi="Arial" w:cs="Arial"/>
                <w:bCs w:val="0"/>
                <w:spacing w:val="0"/>
                <w:kern w:val="2"/>
                <w:sz w:val="21"/>
                <w:szCs w:val="22"/>
                <w:lang w:val="en-US" w:eastAsia="zh-CN" w:bidi="ar-SA"/>
              </w:rPr>
              <w:t>9</w:t>
            </w:r>
            <w:r>
              <w:rPr>
                <w:rFonts w:hint="eastAsia" w:ascii="Arial" w:hAnsi="Arial" w:eastAsia="宋体" w:cs="Arial"/>
                <w:bCs w:val="0"/>
                <w:spacing w:val="0"/>
                <w:kern w:val="2"/>
                <w:sz w:val="21"/>
                <w:szCs w:val="22"/>
                <w:lang w:val="en-US" w:eastAsia="zh-CN" w:bidi="ar-SA"/>
              </w:rPr>
              <w:t>月1日</w:t>
            </w:r>
            <w:r>
              <w:rPr>
                <w:rFonts w:hint="eastAsia" w:ascii="宋体" w:hAnsi="宋体" w:cs="宋体"/>
                <w:szCs w:val="21"/>
              </w:rPr>
              <w:t>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年对管理目标完成情况进行统计分析，出示20</w:t>
            </w:r>
            <w:r>
              <w:rPr>
                <w:rFonts w:ascii="宋体" w:hAnsi="宋体" w:cs="宋体"/>
                <w:szCs w:val="21"/>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w:t>
            </w:r>
            <w:r>
              <w:rPr>
                <w:rFonts w:ascii="宋体" w:hAnsi="宋体" w:cs="宋体"/>
                <w:szCs w:val="21"/>
              </w:rPr>
              <w:t>2021</w:t>
            </w:r>
            <w:r>
              <w:rPr>
                <w:rFonts w:hint="eastAsia" w:ascii="宋体" w:hAnsi="宋体" w:cs="宋体"/>
                <w:szCs w:val="21"/>
              </w:rPr>
              <w:t>年</w:t>
            </w:r>
            <w:r>
              <w:rPr>
                <w:rFonts w:hint="default" w:ascii="宋体" w:hAnsi="宋体" w:cs="宋体"/>
                <w:szCs w:val="21"/>
              </w:rPr>
              <w:t>4</w:t>
            </w:r>
            <w:r>
              <w:rPr>
                <w:rFonts w:hint="eastAsia" w:ascii="宋体" w:hAnsi="宋体" w:cs="宋体"/>
                <w:szCs w:val="21"/>
              </w:rPr>
              <w:t>月管理目标分解及完成情况记录。</w:t>
            </w:r>
          </w:p>
          <w:p>
            <w:pPr>
              <w:spacing w:line="360" w:lineRule="auto"/>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360" w:lineRule="auto"/>
              <w:ind w:firstLine="420" w:firstLineChars="200"/>
            </w:pPr>
            <w:r>
              <w:rPr>
                <w:rFonts w:hint="eastAsia" w:ascii="宋体" w:hAnsi="宋体" w:cs="宋体"/>
                <w:szCs w:val="21"/>
              </w:rPr>
              <w:t>为能在公司范围内更好的应用质量/环境/职业健康安全管理体系及其过程方法，编制《管理手册》，作为公司</w:t>
            </w:r>
            <w:r>
              <w:rPr>
                <w:rFonts w:hint="eastAsia" w:ascii="宋体" w:hAnsi="宋体" w:cs="宋体"/>
                <w:szCs w:val="21"/>
                <w:lang w:val="en-US" w:eastAsia="zh-CN"/>
              </w:rPr>
              <w:t>体系</w:t>
            </w:r>
            <w:r>
              <w:rPr>
                <w:rFonts w:hint="eastAsia" w:ascii="宋体" w:hAnsi="宋体" w:cs="宋体"/>
                <w:szCs w:val="21"/>
              </w:rPr>
              <w:t>管理的纲领性文件；编制《程序文件》，说明本公司内部质量/环境/职业健康安全体系运行的各过程及其之间的顺序和相互作用；编制各类支持性文件及记录表格等作为证明过程运行的证据。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lang w:val="en-US" w:eastAsia="zh-CN"/>
              </w:rPr>
              <w:t>O</w:t>
            </w:r>
            <w:r>
              <w:rPr>
                <w:rFonts w:hint="eastAsia" w:ascii="宋体" w:hAnsi="宋体" w:cs="宋体"/>
                <w:szCs w:val="21"/>
              </w:rPr>
              <w:t>5.1</w:t>
            </w:r>
          </w:p>
          <w:p>
            <w:pPr>
              <w:spacing w:line="280" w:lineRule="exact"/>
              <w:rPr>
                <w:rFonts w:ascii="宋体" w:hAnsi="宋体" w:cs="宋体"/>
                <w:szCs w:val="21"/>
              </w:rPr>
            </w:pP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eastAsia="宋体" w:cs="宋体"/>
                <w:szCs w:val="21"/>
              </w:rPr>
              <w:t>公司</w:t>
            </w:r>
            <w:r>
              <w:rPr>
                <w:rFonts w:hint="eastAsia" w:ascii="宋体" w:hAnsi="宋体" w:cs="宋体"/>
                <w:szCs w:val="21"/>
                <w:lang w:val="en-US" w:eastAsia="zh-CN"/>
              </w:rPr>
              <w:t>总经理张水金</w:t>
            </w:r>
            <w:r>
              <w:rPr>
                <w:rFonts w:hint="eastAsia" w:ascii="宋体" w:hAnsi="宋体" w:eastAsia="宋体" w:cs="宋体"/>
                <w:szCs w:val="21"/>
              </w:rPr>
              <w:t>介</w:t>
            </w:r>
            <w:r>
              <w:rPr>
                <w:rFonts w:hint="eastAsia" w:ascii="宋体" w:hAnsi="宋体" w:cs="宋体"/>
                <w:szCs w:val="21"/>
              </w:rPr>
              <w:t>绍主要承诺有：</w:t>
            </w:r>
          </w:p>
          <w:p>
            <w:pPr>
              <w:spacing w:line="360" w:lineRule="auto"/>
              <w:ind w:firstLine="420" w:firstLineChars="200"/>
              <w:jc w:val="left"/>
              <w:rPr>
                <w:rFonts w:ascii="宋体" w:hAnsi="宋体" w:cs="宋体"/>
                <w:szCs w:val="21"/>
              </w:rPr>
            </w:pPr>
            <w:r>
              <w:rPr>
                <w:rFonts w:hint="eastAsia" w:ascii="宋体" w:hAnsi="宋体" w:cs="宋体"/>
                <w:szCs w:val="21"/>
              </w:rPr>
              <w:t>a）对质量/环境/职业健康安全管理体系的有效性负有责任；</w:t>
            </w:r>
          </w:p>
          <w:p>
            <w:pPr>
              <w:spacing w:line="360" w:lineRule="auto"/>
              <w:ind w:firstLine="420" w:firstLineChars="200"/>
              <w:jc w:val="left"/>
              <w:rPr>
                <w:rFonts w:ascii="宋体" w:hAnsi="宋体" w:cs="宋体"/>
                <w:szCs w:val="21"/>
              </w:rPr>
            </w:pPr>
            <w:r>
              <w:rPr>
                <w:rFonts w:hint="eastAsia" w:ascii="宋体" w:hAnsi="宋体" w:cs="宋体"/>
                <w:szCs w:val="21"/>
              </w:rPr>
              <w:t>b）确保制定质量/环境/职业健康安全管理体系的质量/环境/职业健康安全方针和质量/环境/职业健康安全目标，并与组织环境和战略方向相一致；</w:t>
            </w:r>
          </w:p>
          <w:p>
            <w:pPr>
              <w:spacing w:line="360" w:lineRule="auto"/>
              <w:ind w:left="210" w:leftChars="100" w:firstLine="210" w:firstLineChars="100"/>
              <w:jc w:val="left"/>
              <w:rPr>
                <w:rFonts w:ascii="宋体" w:hAnsi="宋体" w:cs="宋体"/>
                <w:szCs w:val="21"/>
              </w:rPr>
            </w:pPr>
            <w:r>
              <w:rPr>
                <w:rFonts w:hint="eastAsia" w:ascii="宋体" w:hAnsi="宋体" w:cs="宋体"/>
                <w:szCs w:val="21"/>
              </w:rPr>
              <w:t>c）确保质量/环境/职业健康安全管理体系要求融入与组织的业务过程；</w:t>
            </w:r>
          </w:p>
          <w:p>
            <w:pPr>
              <w:spacing w:line="360" w:lineRule="auto"/>
              <w:ind w:firstLine="420" w:firstLineChars="200"/>
              <w:jc w:val="left"/>
              <w:rPr>
                <w:rFonts w:ascii="宋体" w:hAnsi="宋体" w:cs="宋体"/>
                <w:szCs w:val="21"/>
              </w:rPr>
            </w:pPr>
            <w:r>
              <w:rPr>
                <w:rFonts w:hint="eastAsia" w:ascii="宋体" w:hAnsi="宋体" w:cs="宋体"/>
                <w:szCs w:val="21"/>
              </w:rPr>
              <w:t>d）促进使用过程方法和基于风险的思维；</w:t>
            </w:r>
          </w:p>
          <w:p>
            <w:pPr>
              <w:spacing w:line="360" w:lineRule="auto"/>
              <w:ind w:firstLine="420" w:firstLineChars="200"/>
              <w:jc w:val="left"/>
              <w:rPr>
                <w:rFonts w:ascii="宋体" w:hAnsi="宋体" w:cs="宋体"/>
                <w:szCs w:val="21"/>
              </w:rPr>
            </w:pPr>
            <w:r>
              <w:rPr>
                <w:rFonts w:hint="eastAsia" w:ascii="宋体" w:hAnsi="宋体" w:cs="宋体"/>
                <w:szCs w:val="21"/>
              </w:rPr>
              <w:t>e）确保获得质量/环境/职业健康安全管理体系所需的资源；</w:t>
            </w:r>
          </w:p>
          <w:p>
            <w:pPr>
              <w:spacing w:line="360" w:lineRule="auto"/>
              <w:ind w:firstLine="420" w:firstLineChars="200"/>
              <w:jc w:val="left"/>
              <w:rPr>
                <w:rFonts w:ascii="宋体" w:hAnsi="宋体" w:cs="宋体"/>
                <w:szCs w:val="21"/>
              </w:rPr>
            </w:pPr>
            <w:r>
              <w:rPr>
                <w:rFonts w:hint="eastAsia" w:ascii="宋体" w:hAnsi="宋体" w:cs="宋体"/>
                <w:szCs w:val="21"/>
              </w:rPr>
              <w:t>f）沟通有效的质量管理和符合质量/环境/职业健康安全管理体系要求的重要性；</w:t>
            </w:r>
          </w:p>
          <w:p>
            <w:pPr>
              <w:spacing w:line="360" w:lineRule="auto"/>
              <w:ind w:firstLine="420" w:firstLineChars="200"/>
              <w:jc w:val="left"/>
              <w:rPr>
                <w:rFonts w:ascii="宋体" w:hAnsi="宋体" w:cs="宋体"/>
                <w:szCs w:val="21"/>
              </w:rPr>
            </w:pPr>
            <w:r>
              <w:rPr>
                <w:rFonts w:hint="eastAsia" w:ascii="宋体" w:hAnsi="宋体" w:cs="宋体"/>
                <w:szCs w:val="21"/>
              </w:rPr>
              <w:t>g）确保实现质量/环境/职业健康安全管理体系的预期结果；</w:t>
            </w:r>
          </w:p>
          <w:p>
            <w:pPr>
              <w:spacing w:line="360" w:lineRule="auto"/>
              <w:ind w:firstLine="420" w:firstLineChars="200"/>
              <w:jc w:val="left"/>
              <w:rPr>
                <w:rFonts w:ascii="宋体" w:hAnsi="宋体" w:cs="宋体"/>
                <w:szCs w:val="21"/>
              </w:rPr>
            </w:pPr>
            <w:r>
              <w:rPr>
                <w:rFonts w:hint="eastAsia" w:ascii="宋体" w:hAnsi="宋体" w:cs="宋体"/>
                <w:szCs w:val="21"/>
              </w:rPr>
              <w:t>h）促进、知道和支持员工努力提高质量/环境/职业健康安全管理体系的有效性；</w:t>
            </w:r>
          </w:p>
          <w:p>
            <w:pPr>
              <w:spacing w:line="360" w:lineRule="auto"/>
              <w:ind w:firstLine="420" w:firstLineChars="200"/>
              <w:jc w:val="left"/>
              <w:rPr>
                <w:rFonts w:ascii="宋体" w:hAnsi="宋体" w:cs="宋体"/>
                <w:szCs w:val="21"/>
              </w:rPr>
            </w:pPr>
            <w:r>
              <w:rPr>
                <w:rFonts w:hint="eastAsia" w:ascii="宋体" w:hAnsi="宋体" w:cs="宋体"/>
                <w:szCs w:val="21"/>
              </w:rPr>
              <w:t>i）推动改进；</w:t>
            </w:r>
          </w:p>
          <w:p>
            <w:pPr>
              <w:spacing w:line="280" w:lineRule="exact"/>
              <w:ind w:firstLine="420" w:firstLineChars="200"/>
              <w:rPr>
                <w:rFonts w:ascii="宋体" w:hAnsi="宋体" w:cs="宋体"/>
                <w:szCs w:val="21"/>
              </w:rPr>
            </w:pPr>
            <w:r>
              <w:rPr>
                <w:rFonts w:hint="eastAsia" w:ascii="宋体" w:hAnsi="宋体" w:cs="宋体"/>
                <w:szCs w:val="21"/>
              </w:rPr>
              <w:t>j）支持其他的管理者履行其相关领域的职责</w:t>
            </w:r>
          </w:p>
          <w:p>
            <w:pPr>
              <w:spacing w:line="360" w:lineRule="auto"/>
              <w:ind w:firstLine="420" w:firstLineChars="200"/>
              <w:rPr>
                <w:rFonts w:ascii="宋体" w:hAnsi="宋体" w:cs="宋体"/>
                <w:szCs w:val="21"/>
              </w:rPr>
            </w:pPr>
            <w:r>
              <w:rPr>
                <w:rFonts w:hint="eastAsia" w:ascii="宋体" w:hAnsi="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360" w:lineRule="auto"/>
              <w:ind w:firstLine="420" w:firstLineChars="200"/>
            </w:pPr>
            <w:r>
              <w:rPr>
                <w:rFonts w:hint="eastAsia" w:ascii="宋体" w:hAnsi="宋体" w:cs="宋体"/>
                <w:szCs w:val="21"/>
              </w:rPr>
              <w:t>承诺基本实现，没有违反的情况发生。</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lang w:val="en-US" w:eastAsia="zh-CN"/>
              </w:rPr>
              <w:t>O</w:t>
            </w:r>
            <w:r>
              <w:rPr>
                <w:rFonts w:hint="eastAsia" w:ascii="宋体" w:hAnsi="宋体" w:cs="宋体"/>
                <w:szCs w:val="21"/>
              </w:rPr>
              <w:t>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360" w:lineRule="auto"/>
              <w:ind w:firstLine="420" w:firstLineChars="200"/>
              <w:rPr>
                <w:rFonts w:hint="eastAsia" w:ascii="宋体" w:hAnsi="宋体" w:cs="宋体"/>
                <w:szCs w:val="21"/>
              </w:rPr>
            </w:pPr>
            <w:r>
              <w:rPr>
                <w:rFonts w:hint="eastAsia" w:ascii="宋体" w:hAnsi="宋体" w:cs="宋体"/>
                <w:szCs w:val="21"/>
              </w:rPr>
              <w:t>公司职业健康安全方针：</w:t>
            </w:r>
          </w:p>
          <w:p>
            <w:pPr>
              <w:spacing w:line="360" w:lineRule="auto"/>
              <w:ind w:firstLine="420" w:firstLineChars="200"/>
              <w:rPr>
                <w:rFonts w:hint="eastAsia" w:ascii="宋体" w:hAnsi="宋体" w:cs="宋体"/>
                <w:szCs w:val="21"/>
              </w:rPr>
            </w:pPr>
            <w:r>
              <w:rPr>
                <w:rFonts w:hint="eastAsia" w:ascii="宋体" w:hAnsi="宋体" w:cs="宋体"/>
                <w:szCs w:val="21"/>
              </w:rPr>
              <w:t>预防为主、控制保护；强化监督、有法可依；以人为本、提高素质； 科学管理、持续改进。</w:t>
            </w:r>
          </w:p>
          <w:p>
            <w:pPr>
              <w:spacing w:line="360" w:lineRule="auto"/>
              <w:ind w:firstLine="420" w:firstLineChars="200"/>
              <w:rPr>
                <w:rFonts w:hint="eastAsia" w:ascii="宋体" w:hAnsi="宋体" w:cs="宋体"/>
                <w:szCs w:val="21"/>
              </w:rPr>
            </w:pPr>
            <w:r>
              <w:rPr>
                <w:rFonts w:hint="eastAsia" w:ascii="宋体" w:hAnsi="宋体" w:cs="宋体"/>
                <w:szCs w:val="21"/>
              </w:rPr>
              <w:t>公司以质量、环境标准为基础，结合公司实际特制定管理方针。与</w:t>
            </w:r>
            <w:r>
              <w:rPr>
                <w:rFonts w:hint="eastAsia" w:ascii="宋体" w:hAnsi="宋体" w:cs="宋体"/>
                <w:szCs w:val="21"/>
                <w:lang w:eastAsia="zh-CN"/>
              </w:rPr>
              <w:t>总</w:t>
            </w:r>
            <w:r>
              <w:rPr>
                <w:rFonts w:hint="eastAsia" w:ascii="宋体" w:hAnsi="宋体" w:cs="宋体"/>
                <w:szCs w:val="21"/>
                <w:lang w:val="en-US" w:eastAsia="zh-CN"/>
              </w:rPr>
              <w:t>经理</w:t>
            </w:r>
            <w:r>
              <w:rPr>
                <w:rFonts w:hint="eastAsia" w:ascii="宋体" w:hAnsi="宋体" w:cs="宋体"/>
                <w:szCs w:val="21"/>
              </w:rPr>
              <w:t>进行交谈，对方针内涵的理解较深刻。方针能为制定目标提供框架，方针基本符合标准的要求。</w:t>
            </w:r>
          </w:p>
          <w:p>
            <w:pPr>
              <w:spacing w:line="360" w:lineRule="auto"/>
              <w:ind w:firstLine="420" w:firstLineChars="200"/>
              <w:rPr>
                <w:rFonts w:hint="eastAsia" w:ascii="宋体" w:hAnsi="宋体" w:cs="宋体"/>
                <w:szCs w:val="21"/>
              </w:rPr>
            </w:pPr>
            <w:r>
              <w:rPr>
                <w:rFonts w:hint="eastAsia" w:ascii="宋体" w:hAnsi="宋体" w:cs="宋体"/>
                <w:szCs w:val="21"/>
                <w:lang w:eastAsia="zh-CN"/>
              </w:rPr>
              <w:t>总</w:t>
            </w:r>
            <w:r>
              <w:rPr>
                <w:rFonts w:hint="eastAsia" w:ascii="宋体" w:hAnsi="宋体" w:cs="宋体"/>
                <w:szCs w:val="21"/>
                <w:lang w:val="en-US" w:eastAsia="zh-CN"/>
              </w:rPr>
              <w:t>经理</w:t>
            </w:r>
            <w:r>
              <w:rPr>
                <w:rFonts w:hint="eastAsia" w:ascii="宋体" w:hAnsi="宋体" w:cs="宋体"/>
                <w:szCs w:val="21"/>
              </w:rPr>
              <w:t>用会议、文件等手段保证管理方针为全体员工理解并落实到工作中。</w:t>
            </w:r>
            <w:r>
              <w:rPr>
                <w:rFonts w:hint="eastAsia" w:ascii="宋体" w:hAnsi="宋体" w:cs="宋体"/>
                <w:szCs w:val="21"/>
                <w:lang w:eastAsia="zh-CN"/>
              </w:rPr>
              <w:t>总</w:t>
            </w:r>
            <w:r>
              <w:rPr>
                <w:rFonts w:hint="eastAsia" w:ascii="宋体" w:hAnsi="宋体" w:cs="宋体"/>
                <w:szCs w:val="21"/>
                <w:lang w:val="en-US" w:eastAsia="zh-CN"/>
              </w:rPr>
              <w:t>经理</w:t>
            </w:r>
            <w:r>
              <w:rPr>
                <w:rFonts w:hint="eastAsia" w:ascii="宋体" w:hAnsi="宋体" w:cs="宋体"/>
                <w:szCs w:val="21"/>
              </w:rPr>
              <w:t>说管理评审时对方针的持续适宜性进行了评审，有评审记录。</w:t>
            </w:r>
          </w:p>
          <w:p>
            <w:pPr>
              <w:spacing w:line="360" w:lineRule="auto"/>
              <w:ind w:firstLine="420" w:firstLineChars="200"/>
              <w:rPr>
                <w:rFonts w:ascii="宋体" w:hAnsi="宋体" w:cs="宋体"/>
                <w:szCs w:val="21"/>
              </w:rPr>
            </w:pPr>
            <w:r>
              <w:rPr>
                <w:rFonts w:hint="eastAsia" w:ascii="宋体" w:hAnsi="宋体" w:cs="宋体"/>
                <w:szCs w:val="21"/>
              </w:rPr>
              <w:t>以上管理方针通过文件、培训等形式将公司管理方针传达给所有为公司工作或代表公司的人员，相关方也可获取公司管理方针。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hint="eastAsia" w:ascii="宋体" w:cs="宋体"/>
                <w:szCs w:val="21"/>
                <w:lang w:val="en-US" w:eastAsia="zh-CN"/>
              </w:rPr>
              <w:t>O</w:t>
            </w:r>
            <w:r>
              <w:rPr>
                <w:rFonts w:ascii="宋体" w:cs="宋体"/>
                <w:szCs w:val="21"/>
              </w:rPr>
              <w:t>5.3</w:t>
            </w:r>
          </w:p>
          <w:p>
            <w:pPr>
              <w:spacing w:line="280" w:lineRule="exact"/>
            </w:pPr>
          </w:p>
        </w:tc>
        <w:tc>
          <w:tcPr>
            <w:tcW w:w="10642" w:type="dxa"/>
            <w:vAlign w:val="center"/>
          </w:tcPr>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确定了部门、各岗位人员职责、权限和相互关系，并在公司内对各级员工进行了必要的传达。对从事与服务有关的管理、执行和验证人员规定其职责、权限及其相互关系，以实现公司管理方针和管理目标。</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建立、实施和保持公司管理体系所需的过程，公司任命</w:t>
            </w:r>
            <w:r>
              <w:rPr>
                <w:rFonts w:hint="eastAsia" w:ascii="宋体" w:hAnsi="宋体" w:cs="宋体"/>
                <w:szCs w:val="21"/>
                <w:lang w:val="en-US" w:eastAsia="zh-CN"/>
              </w:rPr>
              <w:t>邹林</w:t>
            </w:r>
            <w:r>
              <w:rPr>
                <w:rFonts w:hint="eastAsia" w:ascii="宋体" w:hAnsi="宋体" w:cs="宋体"/>
                <w:szCs w:val="21"/>
                <w:lang w:eastAsia="zh-CN"/>
              </w:rPr>
              <w:t>为管理体系的管理者代表。</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其职责和权限规定如下：</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负责公司质量、环境、职业健康安全管理体系的策划；</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按 GB/T19001-2016/ISO9001:2015、GB/T24001-2016/ISO14001-2015、GB/T45001-2020/ISO45001：2018 标准要求建立、实施、保持质量、环境、职业健康安全管理体系；</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审核公司《质量</w:t>
            </w:r>
            <w:r>
              <w:rPr>
                <w:rFonts w:hint="eastAsia" w:ascii="宋体" w:hAnsi="宋体" w:cs="宋体"/>
                <w:szCs w:val="21"/>
                <w:lang w:val="en-US" w:eastAsia="zh-CN"/>
              </w:rPr>
              <w:t>/</w:t>
            </w:r>
            <w:r>
              <w:rPr>
                <w:rFonts w:hint="eastAsia" w:ascii="宋体" w:hAnsi="宋体" w:cs="宋体"/>
                <w:szCs w:val="21"/>
                <w:lang w:eastAsia="zh-CN"/>
              </w:rPr>
              <w:t>环境</w:t>
            </w:r>
            <w:r>
              <w:rPr>
                <w:rFonts w:hint="eastAsia" w:ascii="宋体" w:hAnsi="宋体" w:cs="宋体"/>
                <w:szCs w:val="21"/>
                <w:lang w:val="en-US" w:eastAsia="zh-CN"/>
              </w:rPr>
              <w:t>/</w:t>
            </w:r>
            <w:r>
              <w:rPr>
                <w:rFonts w:hint="eastAsia" w:ascii="宋体" w:hAnsi="宋体" w:cs="宋体"/>
                <w:szCs w:val="21"/>
                <w:lang w:eastAsia="zh-CN"/>
              </w:rPr>
              <w:t>职业健康安全管理手册》及质量、环境、职业健康安全目标和管理方案；</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批准公司环境、职业健康安全方面的程序文件，并指导、监督运行； 批准公司重大环境因素和重大危险因素清单；</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公司进行质量、环境、职业健康安全管理体系内审，并向总经理报告体系运行情况和体系改进的需求；</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进行管理评审策划，提交体系运行管理评审报告，跟踪落实管理评审决议；</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确保在公司内提高员工满足顾客要求的意识的形成。确保在公司内员工提高环境保护和职业安全意识。</w:t>
            </w:r>
          </w:p>
          <w:p>
            <w:pPr>
              <w:spacing w:line="360" w:lineRule="auto"/>
              <w:ind w:firstLine="420" w:firstLineChars="200"/>
              <w:rPr>
                <w:bCs w:val="0"/>
                <w:spacing w:val="0"/>
              </w:rPr>
            </w:pPr>
            <w:r>
              <w:rPr>
                <w:rFonts w:hint="eastAsia" w:ascii="宋体" w:hAnsi="宋体" w:cs="宋体"/>
                <w:szCs w:val="21"/>
                <w:lang w:eastAsia="zh-CN"/>
              </w:rPr>
              <w:t>询问管代</w:t>
            </w:r>
            <w:r>
              <w:rPr>
                <w:rFonts w:hint="eastAsia" w:ascii="宋体" w:hAnsi="宋体" w:cs="宋体"/>
                <w:szCs w:val="21"/>
                <w:lang w:val="en-US" w:eastAsia="zh-CN"/>
              </w:rPr>
              <w:t>邹林</w:t>
            </w:r>
            <w:r>
              <w:rPr>
                <w:rFonts w:hint="eastAsia" w:ascii="宋体" w:hAnsi="宋体" w:cs="宋体"/>
                <w:szCs w:val="21"/>
                <w:lang w:eastAsia="zh-CN"/>
              </w:rPr>
              <w:t>职责回答正确。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hint="default" w:ascii="宋体" w:hAnsi="宋体" w:eastAsia="宋体" w:cs="宋体"/>
                <w:kern w:val="2"/>
                <w:sz w:val="21"/>
                <w:szCs w:val="21"/>
                <w:lang w:val="en-US" w:eastAsia="zh-CN" w:bidi="ar-SA"/>
              </w:rPr>
            </w:pPr>
            <w:r>
              <w:rPr>
                <w:rFonts w:hint="eastAsia" w:ascii="宋体" w:hAnsi="宋体" w:cs="宋体"/>
                <w:szCs w:val="21"/>
                <w:lang w:val="en-US" w:eastAsia="zh-CN"/>
              </w:rPr>
              <w:t>工作人员的协商和参与</w:t>
            </w:r>
          </w:p>
        </w:tc>
        <w:tc>
          <w:tcPr>
            <w:tcW w:w="1012" w:type="dxa"/>
            <w:vAlign w:val="top"/>
          </w:tcPr>
          <w:p>
            <w:pPr>
              <w:spacing w:line="280" w:lineRule="exact"/>
              <w:rPr>
                <w:rFonts w:hint="eastAsia" w:ascii="宋体" w:eastAsia="宋体" w:cs="宋体"/>
                <w:szCs w:val="21"/>
                <w:lang w:val="en-US" w:eastAsia="zh-CN"/>
              </w:rPr>
            </w:pPr>
            <w:r>
              <w:rPr>
                <w:rFonts w:hint="eastAsia" w:ascii="宋体" w:cs="宋体"/>
                <w:szCs w:val="21"/>
                <w:lang w:val="en-US" w:eastAsia="zh-CN"/>
              </w:rPr>
              <w:t>O</w:t>
            </w:r>
            <w:r>
              <w:rPr>
                <w:rFonts w:ascii="宋体" w:cs="宋体"/>
                <w:szCs w:val="21"/>
              </w:rPr>
              <w:t>5.</w:t>
            </w:r>
            <w:r>
              <w:rPr>
                <w:rFonts w:hint="eastAsia" w:ascii="宋体" w:cs="宋体"/>
                <w:szCs w:val="21"/>
                <w:lang w:val="en-US" w:eastAsia="zh-CN"/>
              </w:rPr>
              <w:t>4</w:t>
            </w:r>
          </w:p>
          <w:p>
            <w:pPr>
              <w:spacing w:line="280" w:lineRule="exact"/>
              <w:rPr>
                <w:rFonts w:ascii="Times New Roman" w:hAnsi="Times New Roman" w:eastAsia="宋体" w:cs="Times New Roman"/>
                <w:kern w:val="2"/>
                <w:sz w:val="21"/>
                <w:lang w:val="en-US" w:eastAsia="zh-CN" w:bidi="ar-SA"/>
              </w:rPr>
            </w:pPr>
          </w:p>
        </w:tc>
        <w:tc>
          <w:tcPr>
            <w:tcW w:w="10642" w:type="dxa"/>
            <w:vAlign w:val="center"/>
          </w:tcPr>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根据公司职业健康安全管理体系的要求，经公司员工选举推荐并经领导决定，聘 胡登攀 为公司职业健康安全事务代表，主要负责员工职业健康安全方面的沟通与协调工作，反映员工在职业健康安全方面的意见和建议，维护员工应有权益，具体职责如下：</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参与公司发展战略和资源配置等重大问题的协商讨论与审查，参与职业健康安全方针和目标的制订和评审；</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参与商讨影响工作场所职业健康安全的任何变化，收集和反映员工在职业健康安全事务上的意见，享有代表权；</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参与危险源辨识、风险评价和确定控制措施；</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参与实施职业健康安全管理方案和运行准则及适用法律法规遵守情况的监督检查；</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参与事故、事件的调查与处理和职业病防治组织工作。</w:t>
            </w:r>
          </w:p>
          <w:p>
            <w:pPr>
              <w:spacing w:line="360" w:lineRule="auto"/>
              <w:ind w:firstLine="630" w:firstLineChars="300"/>
              <w:rPr>
                <w:rFonts w:hint="eastAsia" w:ascii="宋体" w:hAnsi="宋体" w:cs="宋体"/>
                <w:szCs w:val="21"/>
                <w:lang w:eastAsia="zh-CN"/>
              </w:rPr>
            </w:pPr>
            <w:r>
              <w:rPr>
                <w:rFonts w:hint="eastAsia" w:ascii="宋体" w:hAnsi="宋体" w:cs="宋体"/>
                <w:szCs w:val="21"/>
                <w:lang w:eastAsia="zh-CN"/>
              </w:rPr>
              <w:t>询问员工代表胡登攀职责回答正确。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pPr>
            <w:r>
              <w:rPr>
                <w:rFonts w:hint="eastAsia"/>
              </w:rPr>
              <w:t>应对风险和机遇的措施</w:t>
            </w:r>
          </w:p>
          <w:p>
            <w:pPr>
              <w:spacing w:line="280" w:lineRule="exact"/>
            </w:pPr>
          </w:p>
          <w:p>
            <w:pPr>
              <w:pStyle w:val="2"/>
              <w:rPr>
                <w:rFonts w:ascii="宋体" w:hAnsi="宋体" w:cs="宋体"/>
                <w:szCs w:val="21"/>
              </w:rPr>
            </w:pPr>
            <w:r>
              <w:rPr>
                <w:rFonts w:hint="eastAsia"/>
              </w:rPr>
              <w:t>危险源的识别和评价</w:t>
            </w:r>
          </w:p>
        </w:tc>
        <w:tc>
          <w:tcPr>
            <w:tcW w:w="1012" w:type="dxa"/>
            <w:vAlign w:val="top"/>
          </w:tcPr>
          <w:p>
            <w:pPr>
              <w:spacing w:line="280" w:lineRule="exact"/>
              <w:rPr>
                <w:rFonts w:hint="eastAsia"/>
              </w:rPr>
            </w:pPr>
            <w:r>
              <w:rPr>
                <w:rFonts w:hint="eastAsia"/>
                <w:lang w:val="en-US" w:eastAsia="zh-CN"/>
              </w:rPr>
              <w:t>O</w:t>
            </w:r>
            <w:r>
              <w:rPr>
                <w:rFonts w:hint="eastAsia"/>
              </w:rPr>
              <w:t>6.1</w:t>
            </w:r>
          </w:p>
          <w:p>
            <w:pPr>
              <w:pStyle w:val="2"/>
              <w:rPr>
                <w:rFonts w:hint="eastAsia" w:ascii="宋体" w:hAnsi="宋体" w:cs="宋体"/>
                <w:szCs w:val="21"/>
                <w:lang w:val="en-US" w:eastAsia="zh-CN"/>
              </w:rPr>
            </w:pPr>
            <w:r>
              <w:rPr>
                <w:rFonts w:hint="eastAsia" w:ascii="宋体" w:hAnsi="宋体" w:cs="宋体"/>
                <w:szCs w:val="21"/>
                <w:lang w:val="en-US" w:eastAsia="zh-CN"/>
              </w:rPr>
              <w:t>6.1.1</w:t>
            </w:r>
          </w:p>
          <w:p>
            <w:pPr>
              <w:pStyle w:val="2"/>
              <w:rPr>
                <w:rFonts w:hint="default" w:ascii="宋体" w:hAnsi="宋体" w:cs="宋体"/>
                <w:szCs w:val="21"/>
                <w:lang w:val="en-US" w:eastAsia="zh-CN"/>
              </w:rPr>
            </w:pPr>
            <w:r>
              <w:rPr>
                <w:rFonts w:hint="eastAsia" w:ascii="宋体" w:hAnsi="宋体" w:cs="宋体"/>
                <w:szCs w:val="21"/>
                <w:lang w:val="en-US" w:eastAsia="zh-CN"/>
              </w:rPr>
              <w:t>6.1.2</w:t>
            </w:r>
          </w:p>
          <w:p>
            <w:pPr>
              <w:pStyle w:val="2"/>
              <w:rPr>
                <w:rFonts w:hint="eastAsia" w:ascii="宋体" w:hAnsi="宋体" w:cs="宋体"/>
                <w:szCs w:val="21"/>
                <w:lang w:val="en-US" w:eastAsia="zh-CN"/>
              </w:rPr>
            </w:pPr>
          </w:p>
          <w:p>
            <w:pPr>
              <w:pStyle w:val="2"/>
              <w:rPr>
                <w:rFonts w:hint="eastAsia" w:ascii="宋体" w:hAnsi="宋体" w:cs="宋体"/>
                <w:szCs w:val="21"/>
                <w:lang w:val="en-US" w:eastAsia="zh-CN"/>
              </w:rPr>
            </w:pPr>
          </w:p>
          <w:p>
            <w:pPr>
              <w:pStyle w:val="2"/>
              <w:rPr>
                <w:rFonts w:hint="eastAsia" w:ascii="宋体" w:hAnsi="宋体" w:cs="宋体"/>
                <w:szCs w:val="21"/>
                <w:lang w:val="en-US" w:eastAsia="zh-CN"/>
              </w:rPr>
            </w:pPr>
          </w:p>
          <w:p>
            <w:pPr>
              <w:pStyle w:val="2"/>
              <w:rPr>
                <w:rFonts w:hint="eastAsia" w:ascii="宋体" w:hAnsi="宋体" w:cs="宋体"/>
                <w:szCs w:val="21"/>
                <w:lang w:val="en-US" w:eastAsia="zh-CN"/>
              </w:rPr>
            </w:pPr>
          </w:p>
          <w:p>
            <w:pPr>
              <w:pStyle w:val="2"/>
              <w:rPr>
                <w:rFonts w:hint="eastAsia" w:ascii="宋体" w:hAnsi="宋体" w:cs="宋体"/>
                <w:szCs w:val="21"/>
                <w:lang w:val="en-US" w:eastAsia="zh-CN"/>
              </w:rPr>
            </w:pPr>
          </w:p>
          <w:p>
            <w:pPr>
              <w:pStyle w:val="2"/>
              <w:rPr>
                <w:rFonts w:hint="eastAsia" w:ascii="宋体" w:hAnsi="宋体" w:cs="宋体"/>
                <w:szCs w:val="21"/>
                <w:lang w:val="en-US" w:eastAsia="zh-CN"/>
              </w:rPr>
            </w:pPr>
          </w:p>
          <w:p>
            <w:pPr>
              <w:pStyle w:val="2"/>
              <w:rPr>
                <w:rFonts w:hint="eastAsia" w:ascii="宋体" w:hAnsi="宋体" w:cs="宋体"/>
                <w:szCs w:val="21"/>
                <w:lang w:val="en-US" w:eastAsia="zh-CN"/>
              </w:rPr>
            </w:pPr>
          </w:p>
          <w:p>
            <w:pPr>
              <w:pStyle w:val="2"/>
              <w:rPr>
                <w:rFonts w:hint="eastAsia" w:ascii="宋体" w:hAnsi="宋体" w:cs="宋体"/>
                <w:szCs w:val="21"/>
                <w:lang w:val="en-US" w:eastAsia="zh-CN"/>
              </w:rPr>
            </w:pPr>
          </w:p>
          <w:p>
            <w:pPr>
              <w:pStyle w:val="2"/>
            </w:pPr>
          </w:p>
        </w:tc>
        <w:tc>
          <w:tcPr>
            <w:tcW w:w="10642" w:type="dxa"/>
            <w:vAlign w:val="center"/>
          </w:tcPr>
          <w:p>
            <w:pPr>
              <w:spacing w:line="360" w:lineRule="auto"/>
              <w:ind w:firstLine="420" w:firstLineChars="200"/>
              <w:rPr>
                <w:rFonts w:hint="eastAsia"/>
                <w:lang w:val="en-US" w:eastAsia="zh-CN"/>
              </w:rPr>
            </w:pPr>
            <w:r>
              <w:rPr>
                <w:rFonts w:hint="eastAsia"/>
                <w:lang w:val="en-US" w:eastAsia="zh-CN"/>
              </w:rPr>
              <w:t>查制定有《</w:t>
            </w:r>
            <w:r>
              <w:rPr>
                <w:rFonts w:hint="eastAsia"/>
                <w:lang w:eastAsia="zh-CN"/>
              </w:rPr>
              <w:t>风险和机遇的应对措施控制程序》（QJ-CX-05-2020），</w:t>
            </w:r>
            <w:r>
              <w:rPr>
                <w:rFonts w:hint="eastAsia"/>
                <w:lang w:val="en-US" w:eastAsia="zh-CN"/>
              </w:rPr>
              <w:t>提供有《风险和机遇评估分析表》，</w:t>
            </w:r>
          </w:p>
          <w:p>
            <w:pPr>
              <w:spacing w:line="360" w:lineRule="auto"/>
              <w:ind w:firstLine="420" w:firstLineChars="200"/>
              <w:rPr>
                <w:rFonts w:hint="eastAsia"/>
                <w:lang w:eastAsia="zh-CN"/>
              </w:rPr>
            </w:pPr>
            <w:r>
              <w:rPr>
                <w:rFonts w:hint="eastAsia"/>
                <w:lang w:eastAsia="zh-CN"/>
              </w:rPr>
              <w:t>企业识别了如下分析：</w:t>
            </w:r>
          </w:p>
          <w:p>
            <w:pPr>
              <w:spacing w:line="360" w:lineRule="auto"/>
              <w:ind w:firstLine="420" w:firstLineChars="200"/>
              <w:rPr>
                <w:rFonts w:hint="eastAsia"/>
                <w:lang w:eastAsia="zh-CN"/>
              </w:rPr>
            </w:pPr>
            <w:r>
              <w:rPr>
                <w:rFonts w:hint="eastAsia"/>
                <w:lang w:eastAsia="zh-CN"/>
              </w:rPr>
              <w:t>1、相关方风险：</w:t>
            </w:r>
            <w:r>
              <w:rPr>
                <w:rFonts w:hint="default"/>
                <w:lang w:eastAsia="zh-CN"/>
              </w:rPr>
              <w:t>①</w:t>
            </w:r>
            <w:r>
              <w:rPr>
                <w:rFonts w:hint="eastAsia"/>
                <w:lang w:eastAsia="zh-CN"/>
              </w:rPr>
              <w:t>监管部门的监管力度：风险：监管部门监管力度的加大，如公司执行不规范，可能存在被查处的风险。机遇：行业生产环境的变化，给公司带来新的发展机遇。</w:t>
            </w:r>
            <w:r>
              <w:rPr>
                <w:rFonts w:hint="default"/>
                <w:lang w:eastAsia="zh-CN"/>
              </w:rPr>
              <w:t>②供应商的要求</w:t>
            </w:r>
            <w:r>
              <w:rPr>
                <w:rFonts w:hint="eastAsia"/>
                <w:lang w:eastAsia="zh-CN"/>
              </w:rPr>
              <w:t>：风险：原材料市场不稳定，希望签订的年度合同和保底价格，带来的采购和资金风险 。机遇：原材料可能会降低。</w:t>
            </w:r>
          </w:p>
          <w:p>
            <w:pPr>
              <w:spacing w:line="360" w:lineRule="auto"/>
              <w:ind w:firstLine="420" w:firstLineChars="200"/>
              <w:rPr>
                <w:rFonts w:hint="default"/>
                <w:lang w:val="en-US" w:eastAsia="zh-CN"/>
              </w:rPr>
            </w:pPr>
            <w:r>
              <w:rPr>
                <w:rFonts w:hint="eastAsia"/>
                <w:lang w:eastAsia="zh-CN"/>
              </w:rPr>
              <w:t>2、技术风险：新领域、新设备、新工艺：风险：公司现有的工艺、设备如果比较落后，造成产品的成本较高，缺少市场竞争力。机遇：通过引进新的设备、工艺，提高公司的工艺水平，降低产品成本，提高公司的市场竞争</w:t>
            </w:r>
            <w:r>
              <w:rPr>
                <w:rFonts w:hint="eastAsia"/>
                <w:lang w:val="en-US" w:eastAsia="zh-CN"/>
              </w:rPr>
              <w:t>力。</w:t>
            </w:r>
          </w:p>
          <w:p>
            <w:pPr>
              <w:spacing w:line="360" w:lineRule="auto"/>
              <w:ind w:firstLine="420" w:firstLineChars="200"/>
              <w:rPr>
                <w:rFonts w:hint="eastAsia"/>
                <w:lang w:eastAsia="zh-CN"/>
              </w:rPr>
            </w:pPr>
            <w:r>
              <w:rPr>
                <w:rFonts w:hint="eastAsia"/>
                <w:lang w:eastAsia="zh-CN"/>
              </w:rPr>
              <w:t>3、市场风险：市场容量、竞争力、价格风险：风险：公司目前主要产品市场占有率和领先趋势已经比较高，但是产品市场容量毕竟有限，同时加上竞争对手的正在模仿公司的发展方式，对公司产品的竞争力和价格都产生比较大的压力，市场风险比较大。机遇：通过梳理公司产品，需找好的新的产品，同时促进公司内部的管理水平，保持质量领先，提高公司的竞争优势。</w:t>
            </w:r>
          </w:p>
          <w:p>
            <w:pPr>
              <w:spacing w:line="360" w:lineRule="auto"/>
              <w:ind w:firstLine="420" w:firstLineChars="200"/>
              <w:rPr>
                <w:rFonts w:hint="eastAsia"/>
                <w:lang w:eastAsia="zh-CN"/>
              </w:rPr>
            </w:pPr>
            <w:r>
              <w:rPr>
                <w:rFonts w:hint="eastAsia"/>
                <w:lang w:eastAsia="zh-CN"/>
              </w:rPr>
              <w:t>4、管理风险：风险：目前公司管理流程基本覆盖了公司日常工作，但是流程执行力如果得不到保证，会对公司运行带来一定的风险。机遇：完善流程，提高执行力，可以提高公司的管理水平。</w:t>
            </w:r>
          </w:p>
          <w:p>
            <w:pPr>
              <w:spacing w:line="360" w:lineRule="auto"/>
              <w:ind w:firstLine="420" w:firstLineChars="200"/>
              <w:rPr>
                <w:rFonts w:hint="eastAsia"/>
                <w:lang w:eastAsia="zh-CN"/>
              </w:rPr>
            </w:pPr>
            <w:r>
              <w:rPr>
                <w:rFonts w:hint="eastAsia"/>
                <w:lang w:eastAsia="zh-CN"/>
              </w:rPr>
              <w:t>风险评估结论：对于以上涉及到的主要风险，一旦发生，均可能对公司的发展造成巨大损失，所以我们应时刻监视并评价相关环境因素，尽可能的规避风险或降低发生概率。</w:t>
            </w:r>
          </w:p>
          <w:p>
            <w:pPr>
              <w:spacing w:line="360" w:lineRule="auto"/>
              <w:ind w:firstLine="420" w:firstLineChars="200"/>
              <w:rPr>
                <w:rFonts w:hint="eastAsia"/>
                <w:szCs w:val="22"/>
                <w:lang w:eastAsia="zh-CN"/>
              </w:rPr>
            </w:pPr>
            <w:r>
              <w:rPr>
                <w:rFonts w:hint="eastAsia"/>
                <w:szCs w:val="22"/>
                <w:lang w:eastAsia="zh-CN"/>
              </w:rPr>
              <w:t>查编制有《危险源辨识、风险评价和控制程序》（QJ-CX-03-2020），综合部负责组织对风险因素的评审活动，进行评价，确定不可接受风险因素，制订对风险因素的控制办法。</w:t>
            </w:r>
          </w:p>
          <w:p>
            <w:pPr>
              <w:spacing w:line="360" w:lineRule="auto"/>
              <w:ind w:firstLine="420" w:firstLineChars="200"/>
              <w:rPr>
                <w:rFonts w:hint="eastAsia"/>
                <w:szCs w:val="22"/>
                <w:lang w:eastAsia="zh-CN"/>
              </w:rPr>
            </w:pPr>
            <w:r>
              <w:rPr>
                <w:rFonts w:hint="eastAsia"/>
                <w:szCs w:val="22"/>
                <w:lang w:eastAsia="zh-CN"/>
              </w:rPr>
              <w:t>查提供</w:t>
            </w:r>
            <w:r>
              <w:rPr>
                <w:rFonts w:hint="eastAsia"/>
                <w:szCs w:val="22"/>
                <w:highlight w:val="none"/>
                <w:lang w:eastAsia="zh-CN"/>
              </w:rPr>
              <w:t>《危险源辨识与风险评价表》、《</w:t>
            </w:r>
            <w:r>
              <w:rPr>
                <w:rFonts w:hint="eastAsia"/>
                <w:szCs w:val="22"/>
                <w:lang w:eastAsia="zh-CN"/>
              </w:rPr>
              <w:t>重大危险源清单》2020.12.</w:t>
            </w:r>
            <w:r>
              <w:rPr>
                <w:rFonts w:hint="eastAsia"/>
                <w:szCs w:val="22"/>
                <w:lang w:val="en-US" w:eastAsia="zh-CN"/>
              </w:rPr>
              <w:t>1</w:t>
            </w:r>
            <w:r>
              <w:rPr>
                <w:rFonts w:hint="eastAsia"/>
                <w:szCs w:val="22"/>
                <w:lang w:eastAsia="zh-CN"/>
              </w:rPr>
              <w:t>1，</w:t>
            </w:r>
            <w:r>
              <w:rPr>
                <w:rFonts w:hint="eastAsia"/>
                <w:szCs w:val="22"/>
                <w:highlight w:val="none"/>
                <w:lang w:eastAsia="zh-CN"/>
              </w:rPr>
              <w:t>共识别出危险源2</w:t>
            </w:r>
            <w:r>
              <w:rPr>
                <w:rFonts w:hint="eastAsia"/>
                <w:szCs w:val="22"/>
                <w:highlight w:val="none"/>
                <w:lang w:val="en-US" w:eastAsia="zh-CN"/>
              </w:rPr>
              <w:t>2</w:t>
            </w:r>
            <w:r>
              <w:rPr>
                <w:rFonts w:hint="eastAsia"/>
                <w:szCs w:val="22"/>
                <w:highlight w:val="none"/>
                <w:lang w:eastAsia="zh-CN"/>
              </w:rPr>
              <w:t>项，</w:t>
            </w:r>
            <w:r>
              <w:rPr>
                <w:rFonts w:hint="eastAsia"/>
                <w:szCs w:val="22"/>
                <w:lang w:eastAsia="zh-CN"/>
              </w:rPr>
              <w:t>包括火灾、爆炸事故、意外伤害（机械伤害、物体打击、摔伤、触电）、交通事故等。其中</w:t>
            </w:r>
            <w:r>
              <w:rPr>
                <w:rFonts w:hint="eastAsia"/>
                <w:szCs w:val="22"/>
                <w:lang w:val="en-US" w:eastAsia="zh-CN"/>
              </w:rPr>
              <w:t>3</w:t>
            </w:r>
            <w:r>
              <w:rPr>
                <w:rFonts w:hint="eastAsia"/>
                <w:szCs w:val="22"/>
                <w:lang w:eastAsia="zh-CN"/>
              </w:rPr>
              <w:t>项评价为重大危险源。</w:t>
            </w:r>
          </w:p>
          <w:p>
            <w:pPr>
              <w:spacing w:line="360" w:lineRule="auto"/>
              <w:ind w:firstLine="420" w:firstLineChars="200"/>
              <w:rPr>
                <w:rFonts w:hint="eastAsia"/>
                <w:lang w:eastAsia="zh-CN"/>
              </w:rPr>
            </w:pPr>
            <w:r>
              <w:rPr>
                <w:rFonts w:hint="eastAsia"/>
                <w:szCs w:val="22"/>
                <w:lang w:eastAsia="zh-CN"/>
              </w:rPr>
              <w:t>危险源识别和评价基本适宜。</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280" w:lineRule="exact"/>
              <w:rPr>
                <w:rFonts w:hint="default" w:eastAsia="宋体"/>
                <w:lang w:val="en-US" w:eastAsia="zh-CN"/>
              </w:rPr>
            </w:pPr>
            <w:r>
              <w:rPr>
                <w:rFonts w:hint="eastAsia"/>
              </w:rPr>
              <w:t>法律法</w:t>
            </w:r>
            <w:r>
              <w:rPr>
                <w:rFonts w:hint="eastAsia"/>
                <w:lang w:val="en-US" w:eastAsia="zh-CN"/>
              </w:rPr>
              <w:t>规和其他要求的确定</w:t>
            </w:r>
          </w:p>
          <w:p>
            <w:pPr>
              <w:spacing w:line="280" w:lineRule="exact"/>
              <w:rPr>
                <w:rFonts w:hint="default" w:ascii="Times New Roman" w:hAnsi="Times New Roman" w:eastAsia="宋体" w:cs="Times New Roman"/>
                <w:kern w:val="2"/>
                <w:sz w:val="21"/>
                <w:lang w:val="en-US" w:eastAsia="zh-CN" w:bidi="ar-SA"/>
              </w:rPr>
            </w:pPr>
          </w:p>
        </w:tc>
        <w:tc>
          <w:tcPr>
            <w:tcW w:w="1012" w:type="dxa"/>
            <w:vAlign w:val="top"/>
          </w:tcPr>
          <w:p>
            <w:pPr>
              <w:spacing w:line="280" w:lineRule="exact"/>
              <w:rPr>
                <w:szCs w:val="21"/>
              </w:rPr>
            </w:pPr>
          </w:p>
          <w:p>
            <w:pPr>
              <w:pStyle w:val="2"/>
              <w:rPr>
                <w:rFonts w:hint="default" w:ascii="Times New Roman" w:hAnsi="Times New Roman" w:eastAsia="宋体" w:cs="Times New Roman"/>
                <w:bCs/>
                <w:spacing w:val="10"/>
                <w:kern w:val="2"/>
                <w:sz w:val="21"/>
                <w:lang w:val="en-US" w:eastAsia="zh-CN" w:bidi="ar-SA"/>
              </w:rPr>
            </w:pPr>
            <w:r>
              <w:rPr>
                <w:rFonts w:hint="eastAsia"/>
              </w:rPr>
              <w:t>O</w:t>
            </w:r>
            <w:r>
              <w:t>6.1.3</w:t>
            </w:r>
          </w:p>
        </w:tc>
        <w:tc>
          <w:tcPr>
            <w:tcW w:w="10642" w:type="dxa"/>
            <w:vAlign w:val="center"/>
          </w:tcPr>
          <w:p>
            <w:pPr>
              <w:numPr>
                <w:ilvl w:val="0"/>
                <w:numId w:val="0"/>
              </w:numPr>
              <w:spacing w:line="360" w:lineRule="auto"/>
              <w:rPr>
                <w:rFonts w:hint="eastAsia" w:ascii="宋体" w:hAnsi="宋体" w:cs="宋体"/>
                <w:szCs w:val="21"/>
                <w:lang w:eastAsia="zh-CN"/>
              </w:rPr>
            </w:pPr>
            <w:r>
              <w:rPr>
                <w:rFonts w:hint="eastAsia" w:ascii="宋体" w:hAnsi="宋体" w:cs="宋体"/>
                <w:szCs w:val="21"/>
                <w:lang w:eastAsia="zh-CN"/>
              </w:rPr>
              <w:t>查编制有《法律法规与其他要求控制程序》（QJ-CX-04-2020），提供了职业健康安全安全法律、法规及其他要求清单，清单中包括</w:t>
            </w:r>
            <w:r>
              <w:rPr>
                <w:rFonts w:hint="eastAsia" w:ascii="宋体" w:hAnsi="宋体" w:cs="宋体"/>
                <w:szCs w:val="21"/>
                <w:highlight w:val="none"/>
                <w:lang w:eastAsia="zh-CN"/>
              </w:rPr>
              <w:t>58条法律法规</w:t>
            </w:r>
            <w:r>
              <w:rPr>
                <w:rFonts w:hint="eastAsia" w:ascii="宋体" w:hAnsi="宋体" w:cs="宋体"/>
                <w:szCs w:val="21"/>
                <w:lang w:eastAsia="zh-CN"/>
              </w:rPr>
              <w:t>。</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lang w:val="en-US" w:eastAsia="zh-CN"/>
              </w:rPr>
              <w:t>O</w:t>
            </w:r>
            <w:r>
              <w:rPr>
                <w:rFonts w:hint="eastAsia"/>
                <w:szCs w:val="21"/>
              </w:rPr>
              <w:t>6.1.4</w:t>
            </w:r>
          </w:p>
          <w:p>
            <w:pPr>
              <w:spacing w:line="280" w:lineRule="exact"/>
            </w:pPr>
          </w:p>
        </w:tc>
        <w:tc>
          <w:tcPr>
            <w:tcW w:w="10642" w:type="dxa"/>
            <w:vAlign w:val="center"/>
          </w:tcPr>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查提供有《风险和机遇评估分析表》，企业制定了如下措施，并进行了措施有效性评价：</w:t>
            </w:r>
          </w:p>
          <w:p>
            <w:pPr>
              <w:numPr>
                <w:ilvl w:val="0"/>
                <w:numId w:val="1"/>
              </w:num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针对</w:t>
            </w:r>
            <w:r>
              <w:rPr>
                <w:rFonts w:hint="eastAsia" w:ascii="宋体" w:hAnsi="宋体" w:cs="宋体"/>
                <w:szCs w:val="21"/>
                <w:lang w:eastAsia="zh-CN"/>
              </w:rPr>
              <w:t>相关方风险：</w:t>
            </w:r>
            <w:r>
              <w:rPr>
                <w:rFonts w:hint="default" w:ascii="Calibri" w:hAnsi="Calibri" w:cs="Calibri"/>
                <w:szCs w:val="21"/>
                <w:lang w:eastAsia="zh-CN"/>
              </w:rPr>
              <w:t>①</w:t>
            </w:r>
            <w:r>
              <w:rPr>
                <w:rFonts w:hint="eastAsia" w:ascii="宋体" w:hAnsi="宋体" w:cs="宋体"/>
                <w:szCs w:val="21"/>
                <w:lang w:val="en-US" w:eastAsia="zh-CN"/>
              </w:rPr>
              <w:t>各级部门严格按照公司的规章制度开展相关工作；</w:t>
            </w:r>
            <w:r>
              <w:rPr>
                <w:rFonts w:hint="default" w:ascii="Calibri" w:hAnsi="Calibri" w:cs="Calibri"/>
                <w:szCs w:val="21"/>
                <w:lang w:val="en-US" w:eastAsia="zh-CN"/>
              </w:rPr>
              <w:t>②</w:t>
            </w:r>
            <w:r>
              <w:rPr>
                <w:rFonts w:hint="eastAsia" w:ascii="宋体" w:hAnsi="宋体" w:cs="宋体"/>
                <w:szCs w:val="21"/>
                <w:lang w:val="en-US" w:eastAsia="zh-CN"/>
              </w:rPr>
              <w:t>职能部门加大公司内部制度执行情况的检查。</w:t>
            </w:r>
            <w:r>
              <w:rPr>
                <w:rFonts w:hint="default" w:ascii="Calibri" w:hAnsi="Calibri" w:cs="Calibri"/>
                <w:szCs w:val="21"/>
                <w:lang w:val="en-US" w:eastAsia="zh-CN"/>
              </w:rPr>
              <w:t>③对公司影响较大的大宗原材 料做好年度采购计划</w:t>
            </w:r>
            <w:r>
              <w:rPr>
                <w:rFonts w:hint="eastAsia" w:ascii="Calibri" w:hAnsi="Calibri" w:cs="Calibri"/>
                <w:szCs w:val="21"/>
                <w:lang w:val="en-US" w:eastAsia="zh-CN"/>
              </w:rPr>
              <w:t>。</w:t>
            </w:r>
          </w:p>
          <w:p>
            <w:pPr>
              <w:numPr>
                <w:ilvl w:val="0"/>
                <w:numId w:val="1"/>
              </w:numPr>
              <w:spacing w:line="360" w:lineRule="auto"/>
              <w:ind w:firstLine="420" w:firstLineChars="200"/>
              <w:rPr>
                <w:rFonts w:hint="eastAsia" w:ascii="宋体" w:hAnsi="宋体" w:cs="宋体"/>
                <w:szCs w:val="21"/>
                <w:lang w:val="en-US" w:eastAsia="zh-CN"/>
              </w:rPr>
            </w:pPr>
            <w:r>
              <w:rPr>
                <w:rFonts w:hint="eastAsia" w:ascii="宋体" w:hAnsi="宋体" w:cs="宋体"/>
                <w:szCs w:val="21"/>
                <w:lang w:eastAsia="zh-CN"/>
              </w:rPr>
              <w:t>技术风险：</w:t>
            </w:r>
            <w:r>
              <w:rPr>
                <w:rFonts w:hint="eastAsia" w:ascii="宋体" w:hAnsi="宋体" w:cs="宋体"/>
                <w:szCs w:val="21"/>
                <w:lang w:val="en-US" w:eastAsia="zh-CN"/>
              </w:rPr>
              <w:t>公司根据目前的技术水平，制定 的技术攻关和设备改造计划，先 关职能部门予以有效落实。</w:t>
            </w:r>
          </w:p>
          <w:p>
            <w:pPr>
              <w:numPr>
                <w:ilvl w:val="0"/>
                <w:numId w:val="1"/>
              </w:numPr>
              <w:spacing w:line="360" w:lineRule="auto"/>
              <w:ind w:firstLine="420" w:firstLineChars="200"/>
              <w:rPr>
                <w:rFonts w:hint="eastAsia" w:ascii="宋体" w:hAnsi="宋体" w:cs="宋体"/>
                <w:szCs w:val="21"/>
                <w:lang w:val="en-US" w:eastAsia="zh-CN"/>
              </w:rPr>
            </w:pPr>
            <w:r>
              <w:rPr>
                <w:rFonts w:hint="eastAsia" w:ascii="宋体" w:hAnsi="宋体" w:cs="宋体"/>
                <w:szCs w:val="21"/>
                <w:lang w:eastAsia="zh-CN"/>
              </w:rPr>
              <w:t>市场风险：</w:t>
            </w:r>
            <w:r>
              <w:rPr>
                <w:rFonts w:hint="default" w:ascii="Calibri" w:hAnsi="Calibri" w:cs="Calibri"/>
                <w:szCs w:val="21"/>
                <w:lang w:val="en-US" w:eastAsia="zh-CN"/>
              </w:rPr>
              <w:t>①</w:t>
            </w:r>
            <w:r>
              <w:rPr>
                <w:rFonts w:hint="eastAsia" w:ascii="宋体" w:hAnsi="宋体" w:cs="宋体"/>
                <w:szCs w:val="21"/>
                <w:lang w:val="en-US" w:eastAsia="zh-CN"/>
              </w:rPr>
              <w:t>完善公司内部管理制度，加强部门的考核，提高公司管理水平，提高公司产品质量，保持竞争的优势；</w:t>
            </w:r>
            <w:r>
              <w:rPr>
                <w:rFonts w:hint="default" w:ascii="Calibri" w:hAnsi="Calibri" w:cs="Calibri"/>
                <w:szCs w:val="21"/>
                <w:lang w:val="en-US" w:eastAsia="zh-CN"/>
              </w:rPr>
              <w:t>②</w:t>
            </w:r>
            <w:r>
              <w:rPr>
                <w:rFonts w:hint="eastAsia" w:ascii="宋体" w:hAnsi="宋体" w:cs="宋体"/>
                <w:szCs w:val="21"/>
                <w:lang w:val="en-US" w:eastAsia="zh-CN"/>
              </w:rPr>
              <w:t>积极开拓新产品市场，储备新的产品，提高市场容量。</w:t>
            </w:r>
          </w:p>
          <w:p>
            <w:pPr>
              <w:numPr>
                <w:ilvl w:val="0"/>
                <w:numId w:val="1"/>
              </w:numPr>
              <w:spacing w:line="360" w:lineRule="auto"/>
              <w:ind w:firstLine="420" w:firstLineChars="200"/>
            </w:pPr>
            <w:r>
              <w:rPr>
                <w:rFonts w:hint="eastAsia" w:ascii="宋体" w:hAnsi="宋体" w:cs="宋体"/>
                <w:szCs w:val="21"/>
                <w:lang w:eastAsia="zh-CN"/>
              </w:rPr>
              <w:t>管理风险：</w:t>
            </w:r>
            <w:r>
              <w:rPr>
                <w:rFonts w:hint="default" w:ascii="Calibri" w:hAnsi="Calibri" w:eastAsia="宋体" w:cs="Calibri"/>
                <w:szCs w:val="22"/>
              </w:rPr>
              <w:t>①</w:t>
            </w:r>
            <w:r>
              <w:rPr>
                <w:rFonts w:hint="eastAsia" w:ascii="Times New Roman" w:hAnsi="Times New Roman" w:eastAsia="宋体" w:cs="Times New Roman"/>
                <w:szCs w:val="22"/>
              </w:rPr>
              <w:t>各级部门必须严格按照流程开展日常工作，对出现的不符合情况及时调整文件，保持流程的可操作性； </w:t>
            </w:r>
            <w:r>
              <w:rPr>
                <w:rFonts w:hint="default" w:ascii="Calibri" w:hAnsi="Calibri" w:eastAsia="宋体" w:cs="Calibri"/>
                <w:szCs w:val="22"/>
              </w:rPr>
              <w:t>②</w:t>
            </w:r>
            <w:r>
              <w:rPr>
                <w:rFonts w:hint="eastAsia" w:ascii="Times New Roman" w:hAnsi="Times New Roman" w:eastAsia="宋体" w:cs="Times New Roman"/>
                <w:szCs w:val="22"/>
              </w:rPr>
              <w:t>公司组织定期组织进行流程的评审。</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vAlign w:val="top"/>
          </w:tcPr>
          <w:p>
            <w:pPr>
              <w:spacing w:line="280" w:lineRule="exact"/>
              <w:rPr>
                <w:rFonts w:ascii="宋体" w:hAnsi="宋体" w:cs="宋体"/>
                <w:szCs w:val="21"/>
              </w:rPr>
            </w:pPr>
            <w:r>
              <w:rPr>
                <w:rFonts w:hint="eastAsia" w:ascii="宋体" w:hAnsi="宋体" w:cs="宋体"/>
                <w:szCs w:val="21"/>
                <w:lang w:val="en-US" w:eastAsia="zh-CN"/>
              </w:rPr>
              <w:t>职业健康安全</w:t>
            </w:r>
            <w:r>
              <w:rPr>
                <w:rFonts w:hint="eastAsia" w:ascii="宋体" w:hAnsi="宋体" w:cs="宋体"/>
                <w:szCs w:val="21"/>
              </w:rPr>
              <w:t>目标及其实现的策划</w:t>
            </w:r>
          </w:p>
          <w:p>
            <w:pPr>
              <w:spacing w:line="280" w:lineRule="exact"/>
              <w:rPr>
                <w:rFonts w:ascii="宋体" w:hAnsi="宋体" w:cs="宋体"/>
                <w:szCs w:val="21"/>
              </w:rPr>
            </w:pPr>
          </w:p>
        </w:tc>
        <w:tc>
          <w:tcPr>
            <w:tcW w:w="1012" w:type="dxa"/>
            <w:vAlign w:val="top"/>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O6.2</w:t>
            </w:r>
          </w:p>
          <w:p>
            <w:pPr>
              <w:spacing w:line="280" w:lineRule="exact"/>
              <w:rPr>
                <w:rFonts w:asciiTheme="minorEastAsia" w:hAnsiTheme="minorEastAsia" w:eastAsiaTheme="minorEastAsia" w:cstheme="minorEastAsia"/>
                <w:szCs w:val="21"/>
              </w:rPr>
            </w:pPr>
          </w:p>
        </w:tc>
        <w:tc>
          <w:tcPr>
            <w:tcW w:w="10642" w:type="dxa"/>
            <w:vAlign w:val="center"/>
          </w:tcPr>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查编制有《目标与管理方案控制程序》（QJ-CX-06-2020），公司对管理体系所需的相关职能、层次和过程设定管理目标。</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1.职业健康安全目标：</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1)火灾发生为零；</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2)意外伤害事故发生次数为0。          </w:t>
            </w:r>
          </w:p>
          <w:p>
            <w:pPr>
              <w:spacing w:line="360" w:lineRule="auto"/>
              <w:ind w:firstLine="420" w:firstLineChars="200"/>
            </w:pPr>
            <w:r>
              <w:rPr>
                <w:rFonts w:hint="eastAsia" w:ascii="宋体" w:hAnsi="宋体" w:cs="宋体"/>
                <w:szCs w:val="21"/>
                <w:lang w:val="en-US" w:eastAsia="zh-CN"/>
              </w:rPr>
              <w:t>目标可测量，与公司管理方针一致。每年由综合部按公司管理目标考核要求统计考核公司管理目标完成情况，提交管理评审会议。针对重要环境因素、重大风险源制订了管理方案并予以实施，基本有效。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280" w:lineRule="exact"/>
              <w:rPr>
                <w:rFonts w:ascii="宋体" w:hAnsi="宋体" w:cs="宋体"/>
                <w:szCs w:val="21"/>
              </w:rPr>
            </w:pPr>
            <w:r>
              <w:rPr>
                <w:rFonts w:hint="eastAsia" w:ascii="宋体" w:hAnsi="宋体" w:cs="宋体"/>
                <w:szCs w:val="21"/>
              </w:rPr>
              <w:t>资源</w:t>
            </w:r>
          </w:p>
          <w:p>
            <w:pPr>
              <w:spacing w:line="280" w:lineRule="exact"/>
              <w:rPr>
                <w:rFonts w:ascii="宋体" w:hAnsi="宋体" w:cs="宋体"/>
                <w:szCs w:val="21"/>
              </w:rPr>
            </w:pPr>
          </w:p>
        </w:tc>
        <w:tc>
          <w:tcPr>
            <w:tcW w:w="1012" w:type="dxa"/>
            <w:vAlign w:val="top"/>
          </w:tcPr>
          <w:p>
            <w:pPr>
              <w:spacing w:line="280" w:lineRule="exact"/>
              <w:rPr>
                <w:szCs w:val="21"/>
              </w:rPr>
            </w:pPr>
            <w:r>
              <w:rPr>
                <w:rFonts w:hint="eastAsia"/>
                <w:szCs w:val="21"/>
              </w:rPr>
              <w:t>O7.1</w:t>
            </w:r>
          </w:p>
          <w:p>
            <w:pPr>
              <w:spacing w:line="280" w:lineRule="exact"/>
            </w:pPr>
          </w:p>
        </w:tc>
        <w:tc>
          <w:tcPr>
            <w:tcW w:w="10642" w:type="dxa"/>
            <w:vAlign w:val="center"/>
          </w:tcPr>
          <w:p>
            <w:pPr>
              <w:spacing w:line="360" w:lineRule="auto"/>
              <w:ind w:firstLine="420" w:firstLineChars="200"/>
              <w:rPr>
                <w:rFonts w:hint="eastAsia"/>
                <w:lang w:val="en-US" w:eastAsia="zh-CN"/>
              </w:rPr>
            </w:pPr>
            <w:r>
              <w:rPr>
                <w:rFonts w:hint="eastAsia"/>
                <w:lang w:val="en-US" w:eastAsia="zh-CN"/>
              </w:rPr>
              <w:t>查公司配备了必要的人力资源，基础设施，规范文件、资金等必要的资源，能够持续满足顾客需求和管理体系改进的需要。</w:t>
            </w:r>
          </w:p>
          <w:p>
            <w:pPr>
              <w:spacing w:line="360" w:lineRule="auto"/>
              <w:ind w:firstLine="420" w:firstLineChars="200"/>
              <w:rPr>
                <w:rFonts w:hint="default"/>
                <w:lang w:val="en-US" w:eastAsia="zh-CN"/>
              </w:rPr>
            </w:pPr>
            <w:r>
              <w:rPr>
                <w:rFonts w:hint="eastAsia"/>
                <w:lang w:val="en-US" w:eastAsia="zh-CN"/>
              </w:rPr>
              <w:t>部门：综合部（行政办公室、人力资源部、财务部）、项目部（测绘信息部、测绘外业部、成图室）</w:t>
            </w:r>
          </w:p>
          <w:p>
            <w:pPr>
              <w:spacing w:line="360" w:lineRule="auto"/>
              <w:ind w:firstLine="420" w:firstLineChars="200"/>
              <w:rPr>
                <w:rFonts w:hint="default"/>
                <w:lang w:val="en-US" w:eastAsia="zh-CN"/>
              </w:rPr>
            </w:pPr>
            <w:r>
              <w:rPr>
                <w:rFonts w:hint="eastAsia"/>
                <w:lang w:val="en-US" w:eastAsia="zh-CN"/>
              </w:rPr>
              <w:t>人员：办公人员、业务人员、财务人员、测绘信息人员、测绘外业人员、成图人员</w:t>
            </w:r>
          </w:p>
          <w:p>
            <w:pPr>
              <w:spacing w:line="360" w:lineRule="auto"/>
              <w:ind w:firstLine="420" w:firstLineChars="200"/>
              <w:rPr>
                <w:rFonts w:hint="default"/>
                <w:lang w:val="en-US" w:eastAsia="zh-CN"/>
              </w:rPr>
            </w:pPr>
            <w:r>
              <w:rPr>
                <w:rFonts w:hint="eastAsia"/>
                <w:lang w:val="en-US" w:eastAsia="zh-CN"/>
              </w:rPr>
              <w:t>办公设备：电脑（高性能图形编辑计算机）、电话、打印机、传真机等  软件：地理信息处理软件、地理信息系统平台软件</w:t>
            </w:r>
          </w:p>
          <w:p>
            <w:pPr>
              <w:spacing w:line="360" w:lineRule="auto"/>
              <w:ind w:firstLine="420" w:firstLineChars="200"/>
              <w:rPr>
                <w:rFonts w:hint="default"/>
                <w:lang w:val="en-US" w:eastAsia="zh-CN"/>
              </w:rPr>
            </w:pPr>
            <w:r>
              <w:rPr>
                <w:rFonts w:hint="eastAsia"/>
                <w:lang w:val="en-US" w:eastAsia="zh-CN"/>
              </w:rPr>
              <w:t>测绘设备：遥感图像处理系统、无人飞行器系统、水准仪S3级精度以上、全站仪:2秒级精度以上、全球导航卫星系统接收机:5mm+1ppm精度以上、GPS接收机、测深仪等</w:t>
            </w:r>
          </w:p>
          <w:p>
            <w:pPr>
              <w:spacing w:line="360" w:lineRule="auto"/>
              <w:ind w:firstLine="420" w:firstLineChars="200"/>
              <w:rPr>
                <w:rFonts w:hint="default"/>
                <w:lang w:val="en-US" w:eastAsia="zh-CN"/>
              </w:rPr>
            </w:pPr>
            <w:r>
              <w:rPr>
                <w:rFonts w:hint="eastAsia"/>
                <w:lang w:val="en-US" w:eastAsia="zh-CN"/>
              </w:rPr>
              <w:t>环保设备：垃圾桶、灭火器等</w:t>
            </w:r>
          </w:p>
          <w:p>
            <w:pPr>
              <w:pStyle w:val="2"/>
              <w:rPr>
                <w:rFonts w:hint="eastAsia"/>
                <w:lang w:val="en-US" w:eastAsia="zh-CN"/>
              </w:rPr>
            </w:pPr>
            <w:r>
              <w:rPr>
                <w:rFonts w:hint="eastAsia"/>
                <w:lang w:val="en-US" w:eastAsia="zh-CN"/>
              </w:rPr>
              <w:t xml:space="preserve">   劳保用品：</w:t>
            </w:r>
            <w:r>
              <w:rPr>
                <w:rFonts w:hint="eastAsia" w:ascii="宋体" w:hAnsi="宋体" w:cs="宋体"/>
                <w:szCs w:val="21"/>
                <w:lang w:val="en-US" w:eastAsia="zh-CN"/>
              </w:rPr>
              <w:t>安全帽、防护衣等</w:t>
            </w:r>
            <w:r>
              <w:rPr>
                <w:rFonts w:hint="eastAsia"/>
                <w:lang w:val="en-US" w:eastAsia="zh-CN"/>
              </w:rPr>
              <w:t>。</w:t>
            </w:r>
          </w:p>
          <w:p>
            <w:pPr>
              <w:pStyle w:val="2"/>
              <w:ind w:leftChars="100"/>
              <w:rPr>
                <w:rFonts w:hint="eastAsia"/>
                <w:lang w:val="en-US" w:eastAsia="zh-CN"/>
              </w:rPr>
            </w:pPr>
            <w:r>
              <w:rPr>
                <w:rFonts w:hint="eastAsia"/>
                <w:lang w:val="en-US" w:eastAsia="zh-CN"/>
              </w:rPr>
              <w:t>企业办公室为租赁办公室，提供租赁合同，出租人：邓永敬，承租人：张金水，租赁面积：200m</w:t>
            </w:r>
            <w:r>
              <w:rPr>
                <w:rFonts w:hint="eastAsia"/>
                <w:vertAlign w:val="superscript"/>
                <w:lang w:val="en-US" w:eastAsia="zh-CN"/>
              </w:rPr>
              <w:t>3</w:t>
            </w:r>
            <w:r>
              <w:rPr>
                <w:rFonts w:hint="eastAsia"/>
                <w:lang w:val="en-US" w:eastAsia="zh-CN"/>
              </w:rPr>
              <w:t>,前期签订时间为1年，与企业沟通得知目前与房东协议，若无退租情况，企业与自动续签</w:t>
            </w:r>
          </w:p>
          <w:p>
            <w:pPr>
              <w:pStyle w:val="2"/>
              <w:rPr>
                <w:rFonts w:hint="default"/>
                <w:lang w:val="en-US" w:eastAsia="zh-CN"/>
              </w:rPr>
            </w:pPr>
          </w:p>
          <w:p>
            <w:pPr>
              <w:pStyle w:val="2"/>
              <w:rPr>
                <w:rFonts w:hint="default"/>
                <w:lang w:val="en-US" w:eastAsia="zh-CN"/>
              </w:rPr>
            </w:pPr>
            <w:r>
              <w:rPr>
                <w:rFonts w:hint="eastAsia"/>
                <w:lang w:val="en-US" w:eastAsia="zh-CN"/>
              </w:rPr>
              <w:t>提供2020年4月社保缴纳证明，详见附件。</w:t>
            </w:r>
            <w:bookmarkStart w:id="2" w:name="_GoBack"/>
            <w:bookmarkEnd w:id="2"/>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7"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lang w:val="en-US" w:eastAsia="zh-CN"/>
              </w:rPr>
              <w:t>监视、测量、分析和评价绩效</w:t>
            </w:r>
          </w:p>
        </w:tc>
        <w:tc>
          <w:tcPr>
            <w:tcW w:w="1012" w:type="dxa"/>
            <w:vAlign w:val="center"/>
          </w:tcPr>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O</w:t>
            </w:r>
            <w:r>
              <w:rPr>
                <w:rFonts w:hint="eastAsia" w:asciiTheme="minorEastAsia" w:hAnsiTheme="minorEastAsia" w:eastAsiaTheme="minorEastAsia" w:cstheme="minorEastAsia"/>
                <w:szCs w:val="21"/>
                <w:lang w:val="en-US" w:eastAsia="zh-CN"/>
              </w:rPr>
              <w:t>9.1</w:t>
            </w:r>
          </w:p>
          <w:p/>
        </w:tc>
        <w:tc>
          <w:tcPr>
            <w:tcW w:w="10642" w:type="dxa"/>
            <w:vAlign w:val="center"/>
          </w:tcPr>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公司编制了《顾客投诉及满意测量控制程序》（QJ-CX-21-2020），对产品的质量特性进行监视和测量，以验证其符合要求的程度，确保服务符合要求。</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公司制定《绩效测量、数据分析控制程序》（QJ-CX-28-2020）、《内部审核控制程序》（QJ-CX-22-2020）、《管理评审控制程序》（QJ-CX-23-2020），为保证公司质量管理体系的有效运行，通过对管理绩效的监视与测量，确保体系运行的有效性。</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综合部提供了《目标、指标和管理方案一览表》，规定了分解部门，分解值与采取的措施，考核频次为每月/每年。</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抽查目标管理方案检查表，</w:t>
            </w:r>
            <w:r>
              <w:rPr>
                <w:rFonts w:hint="default" w:ascii="宋体" w:hAnsi="宋体" w:cs="宋体"/>
                <w:szCs w:val="21"/>
                <w:lang w:val="en-US" w:eastAsia="zh-CN"/>
              </w:rPr>
              <w:t>①</w:t>
            </w:r>
            <w:r>
              <w:rPr>
                <w:rFonts w:hint="eastAsia" w:ascii="宋体" w:hAnsi="宋体" w:cs="宋体"/>
                <w:szCs w:val="21"/>
                <w:lang w:val="en-US" w:eastAsia="zh-CN"/>
              </w:rPr>
              <w:t xml:space="preserve">配置劳保用品：安全帽、防护衣等； </w:t>
            </w:r>
            <w:r>
              <w:rPr>
                <w:rFonts w:hint="default" w:ascii="宋体" w:hAnsi="宋体" w:cs="宋体"/>
                <w:szCs w:val="21"/>
                <w:lang w:val="en-US" w:eastAsia="zh-CN"/>
              </w:rPr>
              <w:t>②</w:t>
            </w:r>
            <w:r>
              <w:rPr>
                <w:rFonts w:hint="eastAsia" w:ascii="宋体" w:hAnsi="宋体" w:cs="宋体"/>
                <w:szCs w:val="21"/>
                <w:lang w:val="en-US" w:eastAsia="zh-CN"/>
              </w:rPr>
              <w:t xml:space="preserve">发放劳保用品，定期检查更换劳保用品； </w:t>
            </w:r>
            <w:r>
              <w:rPr>
                <w:rFonts w:hint="default" w:ascii="宋体" w:hAnsi="宋体" w:cs="宋体"/>
                <w:szCs w:val="21"/>
                <w:lang w:val="en-US" w:eastAsia="zh-CN"/>
              </w:rPr>
              <w:t>③</w:t>
            </w:r>
            <w:r>
              <w:rPr>
                <w:rFonts w:hint="eastAsia" w:ascii="宋体" w:hAnsi="宋体" w:cs="宋体"/>
                <w:szCs w:val="21"/>
                <w:lang w:val="en-US" w:eastAsia="zh-CN"/>
              </w:rPr>
              <w:t>对设备安装减振装置，定位维保；④定期职业病体检；⑤设备加强维护保养，降低噪声排放。</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查阅“目标完成情况考核表”，目标均完成。</w:t>
            </w:r>
          </w:p>
          <w:p>
            <w:pPr>
              <w:spacing w:line="360" w:lineRule="auto"/>
              <w:ind w:firstLine="420" w:firstLineChars="200"/>
              <w:rPr>
                <w:rFonts w:ascii="宋体" w:hAnsi="宋体"/>
                <w:szCs w:val="21"/>
              </w:rPr>
            </w:pPr>
            <w:r>
              <w:rPr>
                <w:rFonts w:hint="eastAsia" w:ascii="宋体" w:hAnsi="宋体" w:cs="宋体"/>
                <w:szCs w:val="21"/>
                <w:lang w:val="en-US" w:eastAsia="zh-CN"/>
              </w:rPr>
              <w:t>目前未发现公司出现违规现象。</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8"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vAlign w:val="center"/>
          </w:tcPr>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查编制有《管理评审控制程序》（QJ-CX-23-2020），</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提供：</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1.管理评审计划，</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评审时间：计划2020年12月30日进行，评审方式：会议评审，批准：张水金  日期：2020-12-23</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参加人员包括公司总经理、管理者代表、各部门负责人，计划中明确了评审内容和资料准备要求。</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2.管理评审内容：</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1）公司质量、环境和职业健康安全管理体系运行报告、方针、目标执行情况报告——管理者代表。</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2）综合部：审核结果，包括内部审核和合规性性的结果；目标和指标的实现程度；纠正和预防措施的状态；可能影响管理体系的变更；</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3）项目部：顾客反馈，来自外部相关方的交流信息，包括抱怨、客观环境的变化、包括公司环境因素和重大风险源有关的法律法规和其他要求的发展变化；</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4）管理者代表：以往管理评审的跟踪措施或后续措施；公司所面临的风险和机遇采取措施的有效性改进建议；</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5）各相关部门：过程的业绩和服务的符合性，组织的环境绩效和职业健康安全绩效；准备本部门管理体系运行情况汇报。</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3.总经理作会议总结。提供管理评审报告。</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管理评审结论：公司各项活动均能按国家、行业、地方、标准规范和其他要求运行，无违反规定的情况发生。公司的质量、环境和职业健康安全管理体系的运行是适宜、充分和有效的，方针和目标是适宜的，应对风险和机遇采取的措施基本有效。质量、环境和职业健康安全管理体系运行基本符合标准要求。</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2）改进建议：</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公司体系运行时间短，多数员工对标准理解不到位，需要进一步强化质量、环境、职业健康安全管理体系标准的培训。</w:t>
            </w:r>
          </w:p>
          <w:p>
            <w:pPr>
              <w:spacing w:line="360" w:lineRule="auto"/>
              <w:ind w:firstLine="420" w:firstLineChars="200"/>
              <w:rPr>
                <w:rFonts w:hint="eastAsia"/>
              </w:rPr>
            </w:pPr>
            <w:r>
              <w:rPr>
                <w:rFonts w:hint="eastAsia" w:ascii="宋体" w:hAnsi="宋体" w:cs="宋体"/>
                <w:szCs w:val="21"/>
                <w:lang w:val="en-US" w:eastAsia="zh-CN"/>
              </w:rPr>
              <w:t>3）改进措施：应进一步加强公司员工对公司质量、环境、职业健康安全管理体系标准的学习。</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vAlign w:val="top"/>
          </w:tcPr>
          <w:p>
            <w:pPr>
              <w:spacing w:line="280" w:lineRule="exact"/>
              <w:rPr>
                <w:rFonts w:hint="eastAsia" w:ascii="宋体" w:hAnsi="宋体" w:cs="宋体"/>
                <w:szCs w:val="21"/>
              </w:rPr>
            </w:pPr>
            <w:r>
              <w:rPr>
                <w:rFonts w:hint="eastAsia" w:ascii="宋体" w:hAnsi="宋体" w:cs="宋体"/>
                <w:szCs w:val="21"/>
                <w:lang w:val="en-US" w:eastAsia="zh-CN"/>
              </w:rPr>
              <w:t xml:space="preserve">改进 </w:t>
            </w:r>
            <w:r>
              <w:rPr>
                <w:rFonts w:hint="eastAsia" w:ascii="宋体" w:hAnsi="宋体" w:cs="宋体"/>
                <w:szCs w:val="21"/>
              </w:rPr>
              <w:t>总则</w:t>
            </w:r>
          </w:p>
          <w:p>
            <w:pPr>
              <w:pStyle w:val="2"/>
              <w:rPr>
                <w:rFonts w:hint="default" w:eastAsia="宋体"/>
                <w:lang w:val="en-US" w:eastAsia="zh-CN"/>
              </w:rPr>
            </w:pPr>
            <w:r>
              <w:rPr>
                <w:rFonts w:hint="eastAsia" w:ascii="宋体" w:hAnsi="宋体" w:cs="宋体"/>
                <w:szCs w:val="21"/>
                <w:lang w:val="en-US" w:eastAsia="zh-CN"/>
              </w:rPr>
              <w:t>事件、不符合和纠正措施</w:t>
            </w:r>
          </w:p>
          <w:p>
            <w:pPr>
              <w:spacing w:line="280" w:lineRule="exact"/>
              <w:rPr>
                <w:rFonts w:ascii="宋体" w:hAnsi="宋体" w:cs="宋体"/>
                <w:szCs w:val="21"/>
              </w:rPr>
            </w:pPr>
          </w:p>
        </w:tc>
        <w:tc>
          <w:tcPr>
            <w:tcW w:w="1012" w:type="dxa"/>
            <w:vAlign w:val="top"/>
          </w:tcPr>
          <w:p>
            <w:pPr>
              <w:spacing w:line="280" w:lineRule="exact"/>
              <w:rPr>
                <w:szCs w:val="21"/>
              </w:rPr>
            </w:pPr>
            <w:r>
              <w:rPr>
                <w:rFonts w:hint="eastAsia"/>
                <w:szCs w:val="21"/>
              </w:rPr>
              <w:t>O 10.1</w:t>
            </w:r>
          </w:p>
          <w:p>
            <w:pPr>
              <w:spacing w:line="280" w:lineRule="exact"/>
            </w:pPr>
            <w:r>
              <w:rPr>
                <w:rFonts w:hint="eastAsia"/>
                <w:szCs w:val="21"/>
              </w:rPr>
              <w:t>O</w:t>
            </w:r>
            <w:r>
              <w:rPr>
                <w:rFonts w:hint="eastAsia"/>
                <w:lang w:val="en-US" w:eastAsia="zh-CN"/>
              </w:rPr>
              <w:t>10.2</w:t>
            </w:r>
          </w:p>
        </w:tc>
        <w:tc>
          <w:tcPr>
            <w:tcW w:w="10642" w:type="dxa"/>
          </w:tcPr>
          <w:p>
            <w:pPr>
              <w:spacing w:line="360" w:lineRule="auto"/>
              <w:ind w:firstLine="420" w:firstLineChars="200"/>
              <w:rPr>
                <w:rFonts w:ascii="宋体" w:hAnsi="宋体" w:cs="宋体"/>
                <w:szCs w:val="21"/>
              </w:rPr>
            </w:pPr>
            <w:r>
              <w:rPr>
                <w:rFonts w:hint="eastAsia" w:ascii="宋体" w:hAnsi="宋体" w:cs="宋体"/>
                <w:szCs w:val="21"/>
                <w:lang w:val="en-US" w:eastAsia="zh-CN"/>
              </w:rPr>
              <w:t xml:space="preserve">综合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cs="宋体"/>
                <w:szCs w:val="21"/>
              </w:rPr>
            </w:pPr>
            <w:r>
              <w:rPr>
                <w:rFonts w:hint="eastAsia" w:ascii="宋体" w:hAnsi="宋体" w:cs="宋体"/>
                <w:szCs w:val="21"/>
              </w:rPr>
              <w:t>持续改进</w:t>
            </w:r>
          </w:p>
        </w:tc>
        <w:tc>
          <w:tcPr>
            <w:tcW w:w="1012" w:type="dxa"/>
            <w:vAlign w:val="top"/>
          </w:tcPr>
          <w:p>
            <w:pPr>
              <w:spacing w:line="280" w:lineRule="exact"/>
              <w:rPr>
                <w:szCs w:val="21"/>
              </w:rPr>
            </w:pPr>
            <w:r>
              <w:rPr>
                <w:rFonts w:hint="eastAsia"/>
                <w:szCs w:val="21"/>
              </w:rPr>
              <w:t>O10.3</w:t>
            </w:r>
          </w:p>
        </w:tc>
        <w:tc>
          <w:tcPr>
            <w:tcW w:w="10642" w:type="dxa"/>
            <w:vAlign w:val="center"/>
          </w:tcPr>
          <w:p>
            <w:pPr>
              <w:spacing w:line="360" w:lineRule="auto"/>
              <w:ind w:firstLine="420" w:firstLineChars="200"/>
              <w:rPr>
                <w:rFonts w:hint="eastAsia" w:ascii="宋体" w:hAnsi="宋体" w:cs="宋体"/>
                <w:szCs w:val="21"/>
                <w:lang w:val="en-US" w:eastAsia="zh-CN"/>
              </w:rPr>
            </w:pPr>
            <w:r>
              <w:rPr>
                <w:rFonts w:hint="eastAsia" w:ascii="宋体" w:hAnsi="宋体" w:cs="宋体"/>
                <w:szCs w:val="21"/>
              </w:rPr>
              <w:t>为</w:t>
            </w:r>
            <w:r>
              <w:rPr>
                <w:rFonts w:hint="eastAsia" w:ascii="宋体" w:hAnsi="宋体" w:cs="宋体"/>
                <w:szCs w:val="21"/>
                <w:lang w:val="en-US" w:eastAsia="zh-CN"/>
              </w:rPr>
              <w:t>使质量/环境/职业健康安全管理体系实现预期结果和提高顾客满意，公司识别并选择改进的机会，采取包括改进产品和服务，纠正、预防或减少非预期情况给组织带来的不利影响等措施，改进体系的绩效和有效性。</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根据不同过程、不同产品和不同要求，采取不同的方法进行监视、测量和分析。</w:t>
            </w:r>
          </w:p>
          <w:p>
            <w:pPr>
              <w:spacing w:line="360" w:lineRule="auto"/>
              <w:ind w:firstLine="420" w:firstLineChars="200"/>
              <w:rPr>
                <w:rFonts w:ascii="宋体" w:hAnsi="宋体" w:cs="宋体"/>
                <w:szCs w:val="21"/>
              </w:rPr>
            </w:pPr>
            <w:r>
              <w:rPr>
                <w:rFonts w:hint="eastAsia" w:ascii="宋体" w:hAnsi="宋体" w:cs="宋体"/>
                <w:szCs w:val="21"/>
                <w:lang w:val="en-US" w:eastAsia="zh-CN"/>
              </w:rPr>
              <w:t>公司利用管理方针、目标、内审和外审、数据分析、纠正和预防措施以及管理评审，识别任何改进的机会，持续改进管理体系的适宜性、充分性和有效性。详见相关条款审核记录。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tcPr>
          <w:p>
            <w:pPr>
              <w:spacing w:line="280" w:lineRule="exact"/>
              <w:rPr>
                <w:rFonts w:ascii="宋体" w:hAnsi="宋体" w:cs="宋体"/>
                <w:szCs w:val="21"/>
              </w:rPr>
            </w:pPr>
            <w:r>
              <w:rPr>
                <w:rFonts w:hint="eastAsia" w:ascii="宋体" w:hAnsi="宋体" w:cs="宋体"/>
                <w:szCs w:val="21"/>
              </w:rPr>
              <w:t>一阶段问题验证/投诉或事故/政府主管部门监督抽查情况</w:t>
            </w:r>
          </w:p>
        </w:tc>
        <w:tc>
          <w:tcPr>
            <w:tcW w:w="1012" w:type="dxa"/>
          </w:tcPr>
          <w:p>
            <w:pPr>
              <w:spacing w:line="280" w:lineRule="exact"/>
            </w:pPr>
          </w:p>
        </w:tc>
        <w:tc>
          <w:tcPr>
            <w:tcW w:w="10642" w:type="dxa"/>
            <w:vAlign w:val="center"/>
          </w:tcPr>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查</w:t>
            </w:r>
            <w:r>
              <w:rPr>
                <w:rFonts w:hint="eastAsia" w:ascii="宋体" w:hAnsi="宋体" w:cs="宋体"/>
                <w:szCs w:val="21"/>
              </w:rPr>
              <w:t>一阶段问题</w:t>
            </w:r>
            <w:r>
              <w:rPr>
                <w:rFonts w:hint="eastAsia" w:ascii="宋体" w:hAnsi="宋体" w:cs="宋体"/>
                <w:szCs w:val="21"/>
                <w:lang w:val="en-US" w:eastAsia="zh-CN"/>
              </w:rPr>
              <w:t>已整改</w:t>
            </w:r>
          </w:p>
          <w:p>
            <w:pPr>
              <w:spacing w:line="360" w:lineRule="auto"/>
              <w:ind w:firstLine="420" w:firstLineChars="200"/>
              <w:rPr>
                <w:rFonts w:hint="eastAsia" w:ascii="宋体" w:hAnsi="宋体" w:cs="宋体"/>
                <w:szCs w:val="21"/>
              </w:rPr>
            </w:pPr>
            <w:r>
              <w:rPr>
                <w:rFonts w:hint="eastAsia" w:ascii="宋体" w:hAnsi="宋体" w:cs="宋体"/>
                <w:szCs w:val="21"/>
              </w:rPr>
              <w:t>公司管理体系自运行以来，未发生质量、环境、职业健康安全事故</w:t>
            </w:r>
          </w:p>
          <w:p>
            <w:pPr>
              <w:spacing w:line="360" w:lineRule="auto"/>
              <w:ind w:firstLine="420" w:firstLineChars="200"/>
              <w:rPr>
                <w:rFonts w:hint="eastAsia" w:ascii="宋体" w:hAnsi="宋体" w:cs="宋体"/>
                <w:szCs w:val="21"/>
              </w:rPr>
            </w:pPr>
            <w:r>
              <w:rPr>
                <w:rFonts w:hint="eastAsia" w:ascii="宋体" w:hAnsi="宋体" w:cs="宋体"/>
                <w:szCs w:val="21"/>
              </w:rPr>
              <w:t>管理体系运行期间未发生顾客及相关方投诉情况</w:t>
            </w:r>
          </w:p>
          <w:p>
            <w:pPr>
              <w:spacing w:line="360" w:lineRule="auto"/>
              <w:ind w:firstLine="420" w:firstLineChars="200"/>
              <w:rPr>
                <w:rFonts w:hint="eastAsia" w:ascii="宋体" w:hAnsi="宋体" w:cs="宋体"/>
                <w:szCs w:val="21"/>
              </w:rPr>
            </w:pPr>
            <w:r>
              <w:rPr>
                <w:rFonts w:hint="eastAsia" w:ascii="宋体" w:hAnsi="宋体" w:cs="宋体"/>
                <w:szCs w:val="21"/>
              </w:rPr>
              <w:t>目前没有上级主管部门对公司的在质量、环境、职业健康安全监督抽查</w:t>
            </w:r>
          </w:p>
          <w:p>
            <w:pPr>
              <w:spacing w:line="360" w:lineRule="auto"/>
              <w:ind w:firstLine="420" w:firstLineChars="200"/>
            </w:pPr>
            <w:r>
              <w:rPr>
                <w:rFonts w:hint="eastAsia" w:ascii="宋体" w:hAnsi="宋体" w:cs="宋体"/>
                <w:szCs w:val="21"/>
              </w:rPr>
              <w:t>目前公司经营过程中没有发生违反相关法律法规及其他要求的情况</w:t>
            </w:r>
          </w:p>
        </w:tc>
        <w:tc>
          <w:tcPr>
            <w:tcW w:w="895" w:type="dxa"/>
          </w:tc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w:t>
                          </w:r>
                          <w:r>
                            <w:rPr>
                              <w:sz w:val="18"/>
                              <w:szCs w:val="18"/>
                            </w:rPr>
                            <w:t>31</w:t>
                          </w:r>
                          <w:r>
                            <w:rPr>
                              <w:rFonts w:hint="eastAsia"/>
                              <w:sz w:val="18"/>
                              <w:szCs w:val="18"/>
                            </w:rPr>
                            <w:t xml:space="preserve">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ISC-B-I-</w:t>
                    </w:r>
                    <w:r>
                      <w:rPr>
                        <w:sz w:val="18"/>
                        <w:szCs w:val="18"/>
                      </w:rPr>
                      <w:t>31</w:t>
                    </w:r>
                    <w:r>
                      <w:rPr>
                        <w:rFonts w:hint="eastAsia"/>
                        <w:sz w:val="18"/>
                        <w:szCs w:val="18"/>
                      </w:rPr>
                      <w:t xml:space="preserve"> 管理体系审核记录表(03版)</w:t>
                    </w:r>
                  </w:p>
                </w:txbxContent>
              </v:textbox>
            </v:shape>
          </w:pict>
        </mc:Fallback>
      </mc:AlternateContent>
    </w:r>
    <w:r>
      <w:rPr>
        <w:rStyle w:val="12"/>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94BBE9"/>
    <w:multiLevelType w:val="singleLevel"/>
    <w:tmpl w:val="6A94BBE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36757"/>
    <w:rsid w:val="00063031"/>
    <w:rsid w:val="000861C6"/>
    <w:rsid w:val="0009306C"/>
    <w:rsid w:val="000E6BC4"/>
    <w:rsid w:val="000F2BB4"/>
    <w:rsid w:val="00102F7A"/>
    <w:rsid w:val="001257E1"/>
    <w:rsid w:val="001262E9"/>
    <w:rsid w:val="001946AD"/>
    <w:rsid w:val="00197DF9"/>
    <w:rsid w:val="001A2D7F"/>
    <w:rsid w:val="001B38D9"/>
    <w:rsid w:val="001C4DE0"/>
    <w:rsid w:val="001C6BD6"/>
    <w:rsid w:val="00225438"/>
    <w:rsid w:val="0025251D"/>
    <w:rsid w:val="0028575A"/>
    <w:rsid w:val="002968C6"/>
    <w:rsid w:val="002B2FFC"/>
    <w:rsid w:val="002D5AD2"/>
    <w:rsid w:val="002E0791"/>
    <w:rsid w:val="00305681"/>
    <w:rsid w:val="0033182F"/>
    <w:rsid w:val="00337922"/>
    <w:rsid w:val="0034065E"/>
    <w:rsid w:val="00340867"/>
    <w:rsid w:val="0037469A"/>
    <w:rsid w:val="00376191"/>
    <w:rsid w:val="00380837"/>
    <w:rsid w:val="003907D0"/>
    <w:rsid w:val="003A0C32"/>
    <w:rsid w:val="003A198A"/>
    <w:rsid w:val="003B676E"/>
    <w:rsid w:val="003D1B53"/>
    <w:rsid w:val="003D4ACE"/>
    <w:rsid w:val="003F0455"/>
    <w:rsid w:val="003F15E9"/>
    <w:rsid w:val="00410914"/>
    <w:rsid w:val="0043136D"/>
    <w:rsid w:val="004502C9"/>
    <w:rsid w:val="004B0A04"/>
    <w:rsid w:val="004F4F64"/>
    <w:rsid w:val="004F5D79"/>
    <w:rsid w:val="00513CA4"/>
    <w:rsid w:val="00536930"/>
    <w:rsid w:val="00540703"/>
    <w:rsid w:val="00564E53"/>
    <w:rsid w:val="00570308"/>
    <w:rsid w:val="0058650C"/>
    <w:rsid w:val="00591A90"/>
    <w:rsid w:val="005A7C88"/>
    <w:rsid w:val="005B4A17"/>
    <w:rsid w:val="00601651"/>
    <w:rsid w:val="0061541D"/>
    <w:rsid w:val="0061669C"/>
    <w:rsid w:val="00626214"/>
    <w:rsid w:val="00644FE2"/>
    <w:rsid w:val="0067640C"/>
    <w:rsid w:val="00694953"/>
    <w:rsid w:val="006E41CD"/>
    <w:rsid w:val="006E678B"/>
    <w:rsid w:val="006E6C19"/>
    <w:rsid w:val="006F21CE"/>
    <w:rsid w:val="00702EB2"/>
    <w:rsid w:val="007148F7"/>
    <w:rsid w:val="00734D4F"/>
    <w:rsid w:val="007757F3"/>
    <w:rsid w:val="0079159C"/>
    <w:rsid w:val="00796277"/>
    <w:rsid w:val="007C2B82"/>
    <w:rsid w:val="007E1052"/>
    <w:rsid w:val="007E4106"/>
    <w:rsid w:val="007E6AEB"/>
    <w:rsid w:val="008312B1"/>
    <w:rsid w:val="00832B13"/>
    <w:rsid w:val="00852118"/>
    <w:rsid w:val="0085711D"/>
    <w:rsid w:val="00863B44"/>
    <w:rsid w:val="008660E8"/>
    <w:rsid w:val="00892717"/>
    <w:rsid w:val="00896F40"/>
    <w:rsid w:val="008973EE"/>
    <w:rsid w:val="008A747E"/>
    <w:rsid w:val="008E77BA"/>
    <w:rsid w:val="00923F05"/>
    <w:rsid w:val="00935977"/>
    <w:rsid w:val="0094042F"/>
    <w:rsid w:val="00940E1C"/>
    <w:rsid w:val="00956A90"/>
    <w:rsid w:val="00966C57"/>
    <w:rsid w:val="00971600"/>
    <w:rsid w:val="00981B59"/>
    <w:rsid w:val="00987123"/>
    <w:rsid w:val="00991AC9"/>
    <w:rsid w:val="009973B4"/>
    <w:rsid w:val="009A6A93"/>
    <w:rsid w:val="009B5C67"/>
    <w:rsid w:val="009C28C1"/>
    <w:rsid w:val="009D1557"/>
    <w:rsid w:val="009F7EED"/>
    <w:rsid w:val="00A07CD3"/>
    <w:rsid w:val="00A10037"/>
    <w:rsid w:val="00A4239C"/>
    <w:rsid w:val="00AC393F"/>
    <w:rsid w:val="00AC3A00"/>
    <w:rsid w:val="00AC6AE3"/>
    <w:rsid w:val="00AD4E0E"/>
    <w:rsid w:val="00AF0308"/>
    <w:rsid w:val="00AF0AAB"/>
    <w:rsid w:val="00AF69DA"/>
    <w:rsid w:val="00B0224F"/>
    <w:rsid w:val="00B02826"/>
    <w:rsid w:val="00B02A06"/>
    <w:rsid w:val="00B03C07"/>
    <w:rsid w:val="00B047FD"/>
    <w:rsid w:val="00B0674D"/>
    <w:rsid w:val="00B160F8"/>
    <w:rsid w:val="00B20FE2"/>
    <w:rsid w:val="00B61787"/>
    <w:rsid w:val="00B74858"/>
    <w:rsid w:val="00BB6ACB"/>
    <w:rsid w:val="00BD0A6B"/>
    <w:rsid w:val="00BD2C55"/>
    <w:rsid w:val="00BD6770"/>
    <w:rsid w:val="00BE11BF"/>
    <w:rsid w:val="00BE2194"/>
    <w:rsid w:val="00BE7A80"/>
    <w:rsid w:val="00BF597E"/>
    <w:rsid w:val="00C062AE"/>
    <w:rsid w:val="00C13296"/>
    <w:rsid w:val="00C23F26"/>
    <w:rsid w:val="00C35090"/>
    <w:rsid w:val="00C360DB"/>
    <w:rsid w:val="00C469A2"/>
    <w:rsid w:val="00C51A36"/>
    <w:rsid w:val="00C55228"/>
    <w:rsid w:val="00C7523D"/>
    <w:rsid w:val="00C93528"/>
    <w:rsid w:val="00CA4F9A"/>
    <w:rsid w:val="00CA7F00"/>
    <w:rsid w:val="00CD0AC8"/>
    <w:rsid w:val="00CE2833"/>
    <w:rsid w:val="00CE315A"/>
    <w:rsid w:val="00D03677"/>
    <w:rsid w:val="00D06F59"/>
    <w:rsid w:val="00D17159"/>
    <w:rsid w:val="00D231E4"/>
    <w:rsid w:val="00D51CF2"/>
    <w:rsid w:val="00D675BB"/>
    <w:rsid w:val="00D8388C"/>
    <w:rsid w:val="00D939C1"/>
    <w:rsid w:val="00DB43B7"/>
    <w:rsid w:val="00DC00A1"/>
    <w:rsid w:val="00DD1730"/>
    <w:rsid w:val="00E14414"/>
    <w:rsid w:val="00E32F02"/>
    <w:rsid w:val="00E817FC"/>
    <w:rsid w:val="00E92AF2"/>
    <w:rsid w:val="00E967B5"/>
    <w:rsid w:val="00EA049F"/>
    <w:rsid w:val="00EA6EBE"/>
    <w:rsid w:val="00EB0164"/>
    <w:rsid w:val="00EB17A8"/>
    <w:rsid w:val="00EC1457"/>
    <w:rsid w:val="00EC7001"/>
    <w:rsid w:val="00ED0F62"/>
    <w:rsid w:val="00F00EFC"/>
    <w:rsid w:val="00F8791E"/>
    <w:rsid w:val="00F96918"/>
    <w:rsid w:val="00FA636A"/>
    <w:rsid w:val="00FB7B9D"/>
    <w:rsid w:val="00FC5006"/>
    <w:rsid w:val="00FE2303"/>
    <w:rsid w:val="00FF4E2A"/>
    <w:rsid w:val="01815D28"/>
    <w:rsid w:val="01967A6E"/>
    <w:rsid w:val="02B84719"/>
    <w:rsid w:val="03640893"/>
    <w:rsid w:val="06770ADF"/>
    <w:rsid w:val="069E7BAA"/>
    <w:rsid w:val="07622B1B"/>
    <w:rsid w:val="07B050AB"/>
    <w:rsid w:val="07E00E5F"/>
    <w:rsid w:val="087032D5"/>
    <w:rsid w:val="08D014FE"/>
    <w:rsid w:val="08F12EC5"/>
    <w:rsid w:val="09DD1E28"/>
    <w:rsid w:val="09EE4EC2"/>
    <w:rsid w:val="09F832E0"/>
    <w:rsid w:val="0AE65CCB"/>
    <w:rsid w:val="0B250CFE"/>
    <w:rsid w:val="0DB56780"/>
    <w:rsid w:val="0DB71123"/>
    <w:rsid w:val="0E0D4B6C"/>
    <w:rsid w:val="0FB77A13"/>
    <w:rsid w:val="102A2CE8"/>
    <w:rsid w:val="108219C2"/>
    <w:rsid w:val="113A015C"/>
    <w:rsid w:val="12CB3340"/>
    <w:rsid w:val="13CE2B6D"/>
    <w:rsid w:val="13D9390E"/>
    <w:rsid w:val="14462253"/>
    <w:rsid w:val="15AB31D4"/>
    <w:rsid w:val="15F0156D"/>
    <w:rsid w:val="170D1054"/>
    <w:rsid w:val="18522B34"/>
    <w:rsid w:val="19A14DE0"/>
    <w:rsid w:val="1AC458AB"/>
    <w:rsid w:val="1B45087A"/>
    <w:rsid w:val="1B61480E"/>
    <w:rsid w:val="1BD76431"/>
    <w:rsid w:val="1DB426B0"/>
    <w:rsid w:val="201C35DE"/>
    <w:rsid w:val="216553F0"/>
    <w:rsid w:val="22870307"/>
    <w:rsid w:val="24533B56"/>
    <w:rsid w:val="24FE116D"/>
    <w:rsid w:val="256A526F"/>
    <w:rsid w:val="25EB74EE"/>
    <w:rsid w:val="26215433"/>
    <w:rsid w:val="263654B6"/>
    <w:rsid w:val="28491A9D"/>
    <w:rsid w:val="2ABA198F"/>
    <w:rsid w:val="2B181AE2"/>
    <w:rsid w:val="2BB51E11"/>
    <w:rsid w:val="2D807A3F"/>
    <w:rsid w:val="2E4E2574"/>
    <w:rsid w:val="30A27C87"/>
    <w:rsid w:val="312266EE"/>
    <w:rsid w:val="331D334B"/>
    <w:rsid w:val="343C2A26"/>
    <w:rsid w:val="34524295"/>
    <w:rsid w:val="34ED1C2F"/>
    <w:rsid w:val="351279DA"/>
    <w:rsid w:val="351D7ED2"/>
    <w:rsid w:val="353721E6"/>
    <w:rsid w:val="353E7C57"/>
    <w:rsid w:val="370F1F76"/>
    <w:rsid w:val="39992ABD"/>
    <w:rsid w:val="39A30999"/>
    <w:rsid w:val="3AC8408D"/>
    <w:rsid w:val="3B81186A"/>
    <w:rsid w:val="3D4B5885"/>
    <w:rsid w:val="3DAC16ED"/>
    <w:rsid w:val="3E03163F"/>
    <w:rsid w:val="3E183177"/>
    <w:rsid w:val="3F1E0A73"/>
    <w:rsid w:val="3F9427B5"/>
    <w:rsid w:val="416555AC"/>
    <w:rsid w:val="41C05420"/>
    <w:rsid w:val="42D724F4"/>
    <w:rsid w:val="44CE10A7"/>
    <w:rsid w:val="46F15EB1"/>
    <w:rsid w:val="49774A1A"/>
    <w:rsid w:val="49BA7E0C"/>
    <w:rsid w:val="4A5F6016"/>
    <w:rsid w:val="4B314636"/>
    <w:rsid w:val="4D2860C7"/>
    <w:rsid w:val="4DE94ACF"/>
    <w:rsid w:val="4F22587D"/>
    <w:rsid w:val="50AE1FD3"/>
    <w:rsid w:val="52447F1C"/>
    <w:rsid w:val="531A76A7"/>
    <w:rsid w:val="54A958D4"/>
    <w:rsid w:val="59362CFC"/>
    <w:rsid w:val="59BC20AD"/>
    <w:rsid w:val="59E776B5"/>
    <w:rsid w:val="5A410478"/>
    <w:rsid w:val="5A924C04"/>
    <w:rsid w:val="5B270D40"/>
    <w:rsid w:val="5BD00C4A"/>
    <w:rsid w:val="5C9406EC"/>
    <w:rsid w:val="5EA12B9A"/>
    <w:rsid w:val="6147060A"/>
    <w:rsid w:val="61DC0836"/>
    <w:rsid w:val="62F43393"/>
    <w:rsid w:val="648412C3"/>
    <w:rsid w:val="64CC1516"/>
    <w:rsid w:val="66BC59F8"/>
    <w:rsid w:val="67565486"/>
    <w:rsid w:val="68B5413B"/>
    <w:rsid w:val="68C60EA7"/>
    <w:rsid w:val="6991333C"/>
    <w:rsid w:val="69992394"/>
    <w:rsid w:val="6A403FC3"/>
    <w:rsid w:val="6CFB6932"/>
    <w:rsid w:val="6D2C467F"/>
    <w:rsid w:val="6E450CE9"/>
    <w:rsid w:val="6E8368C6"/>
    <w:rsid w:val="6EEF7A0A"/>
    <w:rsid w:val="70DB4A54"/>
    <w:rsid w:val="71336B84"/>
    <w:rsid w:val="71474E7E"/>
    <w:rsid w:val="71B146D8"/>
    <w:rsid w:val="72001E99"/>
    <w:rsid w:val="729F2EDD"/>
    <w:rsid w:val="72C70F1A"/>
    <w:rsid w:val="7464535E"/>
    <w:rsid w:val="74795C7D"/>
    <w:rsid w:val="74821EB4"/>
    <w:rsid w:val="774A411E"/>
    <w:rsid w:val="77F67F4E"/>
    <w:rsid w:val="782D7FD1"/>
    <w:rsid w:val="783C7810"/>
    <w:rsid w:val="78C76759"/>
    <w:rsid w:val="7AD02CAD"/>
    <w:rsid w:val="7AE8376A"/>
    <w:rsid w:val="7B353A4A"/>
    <w:rsid w:val="7BFB0B28"/>
    <w:rsid w:val="7DCE78D1"/>
    <w:rsid w:val="7DDC5A44"/>
    <w:rsid w:val="7E715EDC"/>
    <w:rsid w:val="7F645C4C"/>
    <w:rsid w:val="7F9C46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info-content-text"/>
    <w:basedOn w:val="8"/>
    <w:qFormat/>
    <w:uiPriority w:val="0"/>
  </w:style>
  <w:style w:type="character" w:customStyle="1" w:styleId="14">
    <w:name w:val="info-expand-btn"/>
    <w:basedOn w:val="8"/>
    <w:qFormat/>
    <w:uiPriority w:val="0"/>
  </w:style>
  <w:style w:type="paragraph" w:customStyle="1" w:styleId="15">
    <w:name w:val="列出段落1"/>
    <w:basedOn w:val="1"/>
    <w:qFormat/>
    <w:uiPriority w:val="34"/>
    <w:pPr>
      <w:ind w:firstLine="420" w:firstLineChars="200"/>
    </w:pPr>
    <w:rPr>
      <w:rFonts w:asciiTheme="minorHAnsi" w:hAnsiTheme="minorHAnsi" w:eastAsiaTheme="minorEastAsia" w:cstheme="minorBidi"/>
      <w:szCs w:val="22"/>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EC058-7F8A-46A7-BA01-2F6E1D1760ED}">
  <ds:schemaRefs/>
</ds:datastoreItem>
</file>

<file path=docProps/app.xml><?xml version="1.0" encoding="utf-8"?>
<Properties xmlns="http://schemas.openxmlformats.org/officeDocument/2006/extended-properties" xmlns:vt="http://schemas.openxmlformats.org/officeDocument/2006/docPropsVTypes">
  <Template>Normal</Template>
  <Pages>10</Pages>
  <Words>939</Words>
  <Characters>5355</Characters>
  <Lines>44</Lines>
  <Paragraphs>12</Paragraphs>
  <TotalTime>1</TotalTime>
  <ScaleCrop>false</ScaleCrop>
  <LinksUpToDate>false</LinksUpToDate>
  <CharactersWithSpaces>6282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2021-05-29T02:55:50Z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E4E5FAE9CB8440F3BCE528ED88907220</vt:lpwstr>
  </property>
</Properties>
</file>