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226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领导层、项目部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综合管理部</w:t>
            </w:r>
          </w:p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主管领导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：张水金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：陈玲玲</w:t>
            </w:r>
          </w:p>
        </w:tc>
        <w:tc>
          <w:tcPr>
            <w:tcW w:w="1363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张磊、温红玲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2021-05-26</w:t>
            </w:r>
          </w:p>
        </w:tc>
        <w:tc>
          <w:tcPr>
            <w:tcW w:w="136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36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91360802MA36UME6X4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长期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rFonts w:hint="default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测绘服务、国土空间规划编制等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bookmarkStart w:id="0" w:name="审核范围"/>
          </w:p>
          <w:bookmarkEnd w:id="0"/>
          <w:p>
            <w:r>
              <w:t>Q：测绘航空摄影、影测量与遥感、工程测量、地理信息系统工程、不动产测绘、地图编制、</w:t>
            </w:r>
            <w:r>
              <w:rPr>
                <w:rFonts w:hint="eastAsia"/>
                <w:lang w:eastAsia="zh-CN"/>
              </w:rPr>
              <w:t>国土空间规划编制</w:t>
            </w:r>
            <w:r>
              <w:t>（限资质范围内）</w:t>
            </w:r>
          </w:p>
          <w:p>
            <w:r>
              <w:t>E：测绘航空摄影、影测量与遥感、工程测量、地理信息系统工程、不动产测绘、地图编制、</w:t>
            </w:r>
            <w:bookmarkStart w:id="3" w:name="_GoBack"/>
            <w:bookmarkEnd w:id="3"/>
            <w:r>
              <w:rPr>
                <w:rFonts w:hint="eastAsia"/>
                <w:lang w:eastAsia="zh-CN"/>
              </w:rPr>
              <w:t>国土空间规划编制</w:t>
            </w:r>
            <w:r>
              <w:t>（限资质范围内）所涉及场所的相关环境管理活动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t>O：测绘航空摄影、影测量与遥感、工程测量、地理信息系统工程、不动产测绘、地图编制、</w:t>
            </w:r>
            <w:r>
              <w:rPr>
                <w:rFonts w:hint="eastAsia"/>
                <w:lang w:eastAsia="zh-CN"/>
              </w:rPr>
              <w:t>国土空间规划编制</w:t>
            </w:r>
            <w:r>
              <w:t>（限资质范围内）所涉及场所的相关职业健康安全管理活动</w:t>
            </w: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测绘资质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证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书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乙测资字3611485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2020年12月31号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详见附件文件《自然资源部关于给与测绘单位一年政策过渡期限的公告》）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经营范围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测绘航空摄影、测绘航空摄影、影测量与遥感、工程测量、地理信息系统工程、不动产测绘、地图编制、国土空间规划编制  </w:t>
            </w: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bookmarkStart w:id="1" w:name="注册地址"/>
            <w:r>
              <w:rPr>
                <w:color w:val="000000"/>
                <w:szCs w:val="21"/>
                <w:u w:val="single"/>
              </w:rPr>
              <w:t>江西省吉安市吉州区航盛大厦A座27层06.07室</w:t>
            </w:r>
            <w:bookmarkEnd w:id="1"/>
            <w:r>
              <w:rPr>
                <w:color w:val="000000"/>
                <w:szCs w:val="21"/>
                <w:u w:val="single"/>
              </w:rPr>
              <w:t xml:space="preserve">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江西省吉安市吉州区航盛大厦A座27层06.07室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eastAsia="宋体"/>
                <w:color w:val="auto"/>
                <w:szCs w:val="18"/>
                <w:lang w:eastAsia="zh-CN"/>
              </w:rPr>
            </w:pPr>
            <w:r>
              <w:rPr>
                <w:rFonts w:hint="eastAsia"/>
                <w:color w:val="auto"/>
                <w:szCs w:val="18"/>
              </w:rPr>
              <w:t>确定多现场（固定）的地址</w:t>
            </w:r>
            <w:r>
              <w:rPr>
                <w:rFonts w:hint="eastAsia"/>
                <w:color w:val="auto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适用时</w:t>
            </w:r>
            <w:r>
              <w:rPr>
                <w:rFonts w:hint="eastAsia"/>
                <w:color w:val="auto"/>
                <w:szCs w:val="18"/>
                <w:lang w:eastAsia="zh-CN"/>
              </w:rPr>
              <w:t>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多现场的名称和具体位置：</w:t>
            </w:r>
          </w:p>
          <w:p>
            <w:pPr>
              <w:rPr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</w:rPr>
              <w:t>现场1：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>无</w:t>
            </w:r>
            <w:r>
              <w:rPr>
                <w:color w:val="auto"/>
                <w:szCs w:val="21"/>
                <w:u w:val="single"/>
              </w:rPr>
              <w:t xml:space="preserve">                                                   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现场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与申请时提供的《</w:t>
            </w:r>
            <w:bookmarkStart w:id="2" w:name="_Hlk8307114"/>
            <w:r>
              <w:rPr>
                <w:rFonts w:hint="eastAsia" w:ascii="宋体" w:hAnsi="宋体"/>
                <w:bCs/>
                <w:color w:val="auto"/>
                <w:szCs w:val="21"/>
              </w:rPr>
              <w:t>多场所申报清单</w:t>
            </w:r>
            <w:bookmarkEnd w:id="2"/>
            <w:r>
              <w:rPr>
                <w:rFonts w:hint="eastAsia"/>
                <w:color w:val="auto"/>
              </w:rPr>
              <w:t>》是否一致</w:t>
            </w:r>
          </w:p>
          <w:p>
            <w:pPr>
              <w:rPr>
                <w:color w:val="auto"/>
              </w:rPr>
            </w:pP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lang w:val="en-US" w:eastAsia="zh-CN"/>
              </w:rPr>
              <w:t>不适用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适用时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highlight w:val="none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>企业在建项目清单</w:t>
            </w:r>
            <w:r>
              <w:rPr>
                <w:rFonts w:hint="eastAsia"/>
                <w:color w:val="000000"/>
                <w:highlight w:val="none"/>
              </w:rPr>
              <w:t>》是否一致</w:t>
            </w: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lang w:val="en-US" w:eastAsia="zh-CN"/>
              </w:rPr>
              <w:t>不适用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对</w:t>
            </w:r>
            <w:r>
              <w:rPr>
                <w:highlight w:val="none"/>
              </w:rPr>
              <w:t>多场所</w:t>
            </w:r>
            <w:r>
              <w:rPr>
                <w:rFonts w:hint="eastAsia"/>
                <w:highlight w:val="none"/>
                <w:lang w:val="en-US" w:eastAsia="zh-CN"/>
              </w:rPr>
              <w:t>/临时场所</w:t>
            </w:r>
            <w:r>
              <w:rPr>
                <w:highlight w:val="none"/>
              </w:rPr>
              <w:t>建立的控制水平（</w:t>
            </w:r>
            <w:r>
              <w:rPr>
                <w:rFonts w:hint="eastAsia"/>
                <w:highlight w:val="none"/>
                <w:lang w:val="en-US" w:eastAsia="zh-CN"/>
              </w:rPr>
              <w:t>适用</w:t>
            </w:r>
            <w:r>
              <w:rPr>
                <w:highlight w:val="none"/>
              </w:rP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与组织总部在同一管理体系下运行     </w:t>
            </w:r>
          </w:p>
          <w:p>
            <w:pPr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组织总部有权对</w:t>
            </w:r>
            <w:r>
              <w:rPr>
                <w:highlight w:val="none"/>
              </w:rPr>
              <w:t>多场所</w:t>
            </w:r>
            <w:r>
              <w:rPr>
                <w:rFonts w:hint="eastAsia"/>
                <w:highlight w:val="none"/>
                <w:lang w:val="en-US" w:eastAsia="zh-CN"/>
              </w:rPr>
              <w:t>/临时场所进行监督管理</w:t>
            </w:r>
          </w:p>
          <w:p>
            <w:pPr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按照统一安排实施内部审核（不强制同一时段）</w:t>
            </w:r>
          </w:p>
          <w:p>
            <w:pPr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与组织总部一同进行管理评审</w:t>
            </w: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lang w:val="en-US" w:eastAsia="zh-CN"/>
              </w:rPr>
              <w:t>不适用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auto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lang w:val="en-US" w:eastAsia="zh-CN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工艺流程：</w:t>
            </w:r>
          </w:p>
          <w:p>
            <w:pPr>
              <w:snapToGrid w:val="0"/>
              <w:spacing w:line="280" w:lineRule="exac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招标→工作实施方案→外业数据采集→成图→项目自检→公司抽检→甲方验收→成果提交</w:t>
            </w: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25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管理人员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；操作人员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21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</w:t>
            </w: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color w:val="000000"/>
                <w:szCs w:val="21"/>
              </w:rPr>
              <w:t>0- 17 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9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20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OHSMS（ISO45001）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HACCP  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/>
                <w:color w:val="000000"/>
                <w:szCs w:val="18"/>
                <w:lang w:val="en-US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主要的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内部环境和外部环境分析的充分性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hint="eastAsia"/>
                <w:color w:val="000000"/>
                <w:szCs w:val="18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主要的相关方和期望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的充分性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- 确定</w:t>
            </w:r>
            <w:r>
              <w:rPr>
                <w:rFonts w:hint="eastAsia"/>
                <w:color w:val="000000"/>
                <w:szCs w:val="18"/>
                <w:highlight w:val="none"/>
              </w:rPr>
              <w:t>风险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和机遇</w:t>
            </w:r>
            <w:r>
              <w:rPr>
                <w:rFonts w:hint="eastAsia"/>
                <w:color w:val="000000"/>
                <w:szCs w:val="18"/>
                <w:highlight w:val="none"/>
              </w:rPr>
              <w:t>的识别和评价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color w:val="000000"/>
                <w:szCs w:val="18"/>
                <w:highlight w:val="cya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szCs w:val="18"/>
                <w:highlight w:val="cyan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组织机构设置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、职责分配及沟通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color w:val="000000"/>
                <w:szCs w:val="18"/>
                <w:highlight w:val="none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/>
                <w:color w:val="000000"/>
                <w:szCs w:val="18"/>
                <w:highlight w:val="cyan"/>
                <w:lang w:val="en-US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- 确定</w:t>
            </w:r>
            <w:r>
              <w:rPr>
                <w:rFonts w:hint="eastAsia"/>
                <w:color w:val="000000"/>
                <w:szCs w:val="18"/>
                <w:highlight w:val="none"/>
              </w:rPr>
              <w:t>外部提供过程、产品和服务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外包过程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）：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无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未发生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已发生，说明：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szCs w:val="18"/>
                <w:highlight w:val="cya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其他机构转入情况（适用时）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 </w:t>
            </w:r>
          </w:p>
          <w:p>
            <w:pPr>
              <w:ind w:firstLine="210" w:firstLineChars="100"/>
              <w:rPr>
                <w:rFonts w:hint="eastAsia"/>
                <w:color w:val="000000"/>
                <w:szCs w:val="18"/>
                <w:highlight w:val="cya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已收集到以往的不符合项（共三项）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未收集到以往的不符合项 </w:t>
            </w: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spacing w:before="240"/>
              <w:ind w:firstLine="562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公司质</w:t>
            </w:r>
            <w:r>
              <w:rPr>
                <w:b/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>量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方</w:t>
            </w:r>
            <w:r>
              <w:rPr>
                <w:b/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>针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突出全面管理、科学诚信服务、追求客户满意、创造优质服务；遵纪守法经营、坚持高效履约、不断持续改进、永远追求卓越。</w:t>
            </w:r>
          </w:p>
          <w:p>
            <w:pPr>
              <w:ind w:firstLine="56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公</w:t>
            </w:r>
            <w:r>
              <w:rPr>
                <w:b/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>司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环境方</w:t>
            </w:r>
            <w:r>
              <w:rPr>
                <w:b/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>针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营造绿色环境、准守法律法规、提高环境意识；实现污染预防、推进节能降耗、达到持续改进。</w:t>
            </w:r>
          </w:p>
          <w:p>
            <w:pPr>
              <w:ind w:firstLine="56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b/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健</w:t>
            </w:r>
            <w:r>
              <w:rPr>
                <w:b/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>康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安全</w:t>
            </w:r>
            <w:r>
              <w:rPr>
                <w:b/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>方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针：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预防为主、控制保护；强化监督、有法可依；以人为本、提高素质；科学管理、持续改进。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hd w:val="clear"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eastAsia="zh-CN"/>
              </w:rPr>
              <w:t>《目标分解和完成情况考核》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  </w:t>
            </w:r>
          </w:p>
          <w:p>
            <w:pPr>
              <w:widowControl/>
              <w:jc w:val="left"/>
              <w:rPr>
                <w:rFonts w:hint="eastAsia"/>
                <w:color w:val="000000"/>
                <w:szCs w:val="18"/>
                <w:shd w:val="pct10" w:color="auto" w:fill="FFFFFF"/>
              </w:rPr>
            </w:pPr>
          </w:p>
          <w:tbl>
            <w:tblPr>
              <w:tblStyle w:val="7"/>
              <w:tblpPr w:leftFromText="180" w:rightFromText="180" w:vertAnchor="text" w:horzAnchor="page" w:tblpX="210" w:tblpY="215"/>
              <w:tblOverlap w:val="never"/>
              <w:tblW w:w="4887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3"/>
              <w:gridCol w:w="966"/>
              <w:gridCol w:w="2549"/>
              <w:gridCol w:w="1088"/>
              <w:gridCol w:w="28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63" w:hRule="atLeast"/>
              </w:trPr>
              <w:tc>
                <w:tcPr>
                  <w:tcW w:w="1193" w:type="pct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/>
                      <w:b/>
                      <w:color w:val="auto"/>
                      <w:sz w:val="24"/>
                    </w:rPr>
                  </w:pPr>
                  <w:r>
                    <w:rPr>
                      <w:rFonts w:hint="eastAsia"/>
                      <w:b/>
                      <w:color w:val="auto"/>
                      <w:sz w:val="24"/>
                    </w:rPr>
                    <w:t>目 标 值</w:t>
                  </w:r>
                </w:p>
              </w:tc>
              <w:tc>
                <w:tcPr>
                  <w:tcW w:w="494" w:type="pct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/>
                      <w:b/>
                      <w:color w:val="auto"/>
                      <w:sz w:val="24"/>
                    </w:rPr>
                  </w:pPr>
                  <w:r>
                    <w:rPr>
                      <w:rFonts w:hint="eastAsia"/>
                      <w:b/>
                      <w:color w:val="auto"/>
                      <w:sz w:val="24"/>
                    </w:rPr>
                    <w:t>量化</w:t>
                  </w:r>
                </w:p>
                <w:p>
                  <w:pPr>
                    <w:spacing w:line="360" w:lineRule="exact"/>
                    <w:jc w:val="center"/>
                    <w:rPr>
                      <w:rFonts w:hint="eastAsia"/>
                      <w:b/>
                      <w:color w:val="auto"/>
                      <w:sz w:val="24"/>
                    </w:rPr>
                  </w:pPr>
                  <w:r>
                    <w:rPr>
                      <w:rFonts w:hint="eastAsia"/>
                      <w:b/>
                      <w:color w:val="auto"/>
                      <w:sz w:val="24"/>
                    </w:rPr>
                    <w:t>指标</w:t>
                  </w:r>
                </w:p>
              </w:tc>
              <w:tc>
                <w:tcPr>
                  <w:tcW w:w="1303" w:type="pct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/>
                      <w:b/>
                      <w:color w:val="auto"/>
                      <w:sz w:val="24"/>
                    </w:rPr>
                  </w:pPr>
                  <w:r>
                    <w:rPr>
                      <w:rFonts w:hint="eastAsia"/>
                      <w:b/>
                      <w:color w:val="auto"/>
                      <w:sz w:val="24"/>
                    </w:rPr>
                    <w:t>测量方法</w:t>
                  </w:r>
                </w:p>
              </w:tc>
              <w:tc>
                <w:tcPr>
                  <w:tcW w:w="556" w:type="pct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default"/>
                      <w:b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color w:val="auto"/>
                      <w:sz w:val="24"/>
                      <w:lang w:val="en-US" w:eastAsia="zh-CN"/>
                    </w:rPr>
                    <w:t>频次</w:t>
                  </w:r>
                </w:p>
              </w:tc>
              <w:tc>
                <w:tcPr>
                  <w:tcW w:w="1451" w:type="pct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default" w:eastAsia="宋体"/>
                      <w:b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color w:val="auto"/>
                      <w:sz w:val="24"/>
                      <w:lang w:val="en-US" w:eastAsia="zh-CN"/>
                    </w:rPr>
                    <w:t>2020年11月-2021年3月完成情况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26" w:hRule="atLeast"/>
              </w:trPr>
              <w:tc>
                <w:tcPr>
                  <w:tcW w:w="1193" w:type="pct"/>
                  <w:noWrap w:val="0"/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rFonts w:hint="eastAsia" w:ascii="宋体" w:hAnsi="宋体"/>
                      <w:color w:val="auto"/>
                      <w:spacing w:val="-2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顾客满意度</w:t>
                  </w:r>
                </w:p>
              </w:tc>
              <w:tc>
                <w:tcPr>
                  <w:tcW w:w="494" w:type="pct"/>
                  <w:noWrap w:val="0"/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rPr>
                      <w:rFonts w:hint="default" w:ascii="宋体" w:hAnsi="宋体" w:eastAsia="宋体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≥9</w:t>
                  </w: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/>
                      <w:bCs/>
                      <w:color w:val="auto"/>
                      <w:sz w:val="18"/>
                      <w:szCs w:val="18"/>
                    </w:rPr>
                    <w:t>分</w:t>
                  </w:r>
                </w:p>
              </w:tc>
              <w:tc>
                <w:tcPr>
                  <w:tcW w:w="1303" w:type="pct"/>
                  <w:noWrap w:val="0"/>
                  <w:vAlign w:val="center"/>
                </w:tcPr>
                <w:p>
                  <w:pPr>
                    <w:spacing w:line="360" w:lineRule="exact"/>
                    <w:ind w:left="168" w:leftChars="0" w:hanging="168" w:hangingChars="100"/>
                    <w:jc w:val="center"/>
                    <w:rPr>
                      <w:rFonts w:hint="eastAsia"/>
                      <w:color w:val="auto"/>
                      <w:spacing w:val="-6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pacing w:val="-6"/>
                      <w:sz w:val="18"/>
                      <w:szCs w:val="18"/>
                      <w:lang w:val="en-US" w:eastAsia="zh-CN"/>
                    </w:rPr>
                    <w:t>调查各项得分总和</w:t>
                  </w:r>
                </w:p>
              </w:tc>
              <w:tc>
                <w:tcPr>
                  <w:tcW w:w="556" w:type="pct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default" w:eastAsia="宋体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auto"/>
                      <w:sz w:val="18"/>
                      <w:szCs w:val="18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1451" w:type="pct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default" w:eastAsia="宋体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  <w:lang w:val="en-US" w:eastAsia="zh-CN"/>
                    </w:rPr>
                    <w:t>96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25" w:hRule="atLeast"/>
              </w:trPr>
              <w:tc>
                <w:tcPr>
                  <w:tcW w:w="1193" w:type="pct"/>
                  <w:noWrap w:val="0"/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及时交付率为≥9</w:t>
                  </w: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494" w:type="pct"/>
                  <w:noWrap w:val="0"/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default" w:eastAsia="宋体"/>
                      <w:color w:val="auto"/>
                      <w:spacing w:val="-6"/>
                      <w:sz w:val="18"/>
                      <w:szCs w:val="18"/>
                      <w:lang w:val="en-US" w:eastAsia="zh-CN"/>
                    </w:rPr>
                    <w:t>100％</w:t>
                  </w:r>
                </w:p>
              </w:tc>
              <w:tc>
                <w:tcPr>
                  <w:tcW w:w="1303" w:type="pct"/>
                  <w:noWrap w:val="0"/>
                  <w:vAlign w:val="center"/>
                </w:tcPr>
                <w:p>
                  <w:pPr>
                    <w:spacing w:line="360" w:lineRule="exact"/>
                    <w:ind w:left="168" w:leftChars="0" w:hanging="168" w:hangingChars="100"/>
                    <w:jc w:val="center"/>
                    <w:rPr>
                      <w:rFonts w:hint="default" w:eastAsia="宋体"/>
                      <w:color w:val="auto"/>
                      <w:spacing w:val="-6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default" w:eastAsia="宋体"/>
                      <w:color w:val="auto"/>
                      <w:spacing w:val="-6"/>
                      <w:sz w:val="18"/>
                      <w:szCs w:val="18"/>
                      <w:lang w:val="en-US" w:eastAsia="zh-CN"/>
                    </w:rPr>
                    <w:t>交付产品合格数/产品交付总数*100％</w:t>
                  </w:r>
                </w:p>
              </w:tc>
              <w:tc>
                <w:tcPr>
                  <w:tcW w:w="556" w:type="pct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eastAsia="宋体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1451" w:type="pct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default" w:eastAsia="宋体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auto"/>
                      <w:sz w:val="18"/>
                      <w:szCs w:val="18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25" w:hRule="atLeast"/>
              </w:trPr>
              <w:tc>
                <w:tcPr>
                  <w:tcW w:w="1193" w:type="pct"/>
                  <w:noWrap w:val="0"/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固体废弃物分类回收，100%合理处置</w:t>
                  </w:r>
                </w:p>
              </w:tc>
              <w:tc>
                <w:tcPr>
                  <w:tcW w:w="494" w:type="pct"/>
                  <w:noWrap w:val="0"/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 xml:space="preserve">  100％</w:t>
                  </w:r>
                </w:p>
              </w:tc>
              <w:tc>
                <w:tcPr>
                  <w:tcW w:w="1303" w:type="pct"/>
                  <w:noWrap w:val="0"/>
                  <w:vAlign w:val="center"/>
                </w:tcPr>
                <w:p>
                  <w:pPr>
                    <w:spacing w:line="360" w:lineRule="exact"/>
                    <w:ind w:left="168" w:leftChars="0" w:hanging="168" w:hangingChars="100"/>
                    <w:jc w:val="center"/>
                    <w:rPr>
                      <w:rFonts w:hint="eastAsia" w:eastAsia="宋体"/>
                      <w:color w:val="auto"/>
                      <w:spacing w:val="-6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pacing w:val="-6"/>
                      <w:sz w:val="18"/>
                      <w:szCs w:val="18"/>
                    </w:rPr>
                    <w:t>处置数/固废数×100%</w:t>
                  </w:r>
                </w:p>
              </w:tc>
              <w:tc>
                <w:tcPr>
                  <w:tcW w:w="556" w:type="pct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default" w:eastAsia="宋体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1451" w:type="pct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default" w:eastAsia="宋体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pacing w:val="-20"/>
                      <w:sz w:val="18"/>
                      <w:szCs w:val="18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25" w:hRule="atLeast"/>
              </w:trPr>
              <w:tc>
                <w:tcPr>
                  <w:tcW w:w="1193" w:type="pct"/>
                  <w:noWrap w:val="0"/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火灾</w:t>
                  </w:r>
                  <w:r>
                    <w:rPr>
                      <w:rFonts w:hint="eastAsia" w:ascii="宋体" w:hAnsi="宋体" w:eastAsia="宋体"/>
                      <w:color w:val="auto"/>
                      <w:sz w:val="18"/>
                      <w:szCs w:val="18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触电</w:t>
                  </w:r>
                  <w:r>
                    <w:rPr>
                      <w:rFonts w:hint="eastAsia" w:ascii="宋体" w:hAnsi="宋体" w:eastAsia="宋体"/>
                      <w:color w:val="auto"/>
                      <w:sz w:val="18"/>
                      <w:szCs w:val="18"/>
                      <w:lang w:val="en-US" w:eastAsia="zh-CN"/>
                    </w:rPr>
                    <w:t>伤害</w:t>
                  </w: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发生</w:t>
                  </w:r>
                  <w:r>
                    <w:rPr>
                      <w:rFonts w:hint="eastAsia" w:ascii="宋体" w:hAnsi="宋体" w:eastAsia="宋体"/>
                      <w:color w:val="auto"/>
                      <w:sz w:val="18"/>
                      <w:szCs w:val="18"/>
                      <w:lang w:val="en-US" w:eastAsia="zh-CN"/>
                    </w:rPr>
                    <w:t>次数</w:t>
                  </w:r>
                </w:p>
              </w:tc>
              <w:tc>
                <w:tcPr>
                  <w:tcW w:w="494" w:type="pct"/>
                  <w:noWrap w:val="0"/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color w:val="auto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1303" w:type="pct"/>
                  <w:noWrap w:val="0"/>
                  <w:vAlign w:val="center"/>
                </w:tcPr>
                <w:p>
                  <w:pPr>
                    <w:spacing w:line="360" w:lineRule="exact"/>
                    <w:ind w:left="168" w:leftChars="0" w:hanging="168" w:hangingChars="100"/>
                    <w:jc w:val="center"/>
                    <w:rPr>
                      <w:rFonts w:hint="eastAsia"/>
                      <w:spacing w:val="-6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-6"/>
                      <w:sz w:val="18"/>
                      <w:szCs w:val="18"/>
                    </w:rPr>
                    <w:t>数据统计分析</w:t>
                  </w:r>
                </w:p>
              </w:tc>
              <w:tc>
                <w:tcPr>
                  <w:tcW w:w="556" w:type="pct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宋体" w:hAnsi="宋体"/>
                      <w:color w:val="auto"/>
                      <w:spacing w:val="-2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1451" w:type="pct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pacing w:val="-20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25" w:hRule="atLeast"/>
              </w:trPr>
              <w:tc>
                <w:tcPr>
                  <w:tcW w:w="1193" w:type="pct"/>
                  <w:noWrap w:val="0"/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意外伤害事故发生次数为</w:t>
                  </w:r>
                </w:p>
              </w:tc>
              <w:tc>
                <w:tcPr>
                  <w:tcW w:w="494" w:type="pct"/>
                  <w:noWrap w:val="0"/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rPr>
                      <w:rFonts w:hint="eastAsia" w:ascii="宋体" w:hAnsi="宋体" w:eastAsia="宋体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color w:val="auto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1303" w:type="pct"/>
                  <w:noWrap w:val="0"/>
                  <w:vAlign w:val="center"/>
                </w:tcPr>
                <w:p>
                  <w:pPr>
                    <w:spacing w:line="360" w:lineRule="exact"/>
                    <w:ind w:left="168" w:leftChars="0" w:hanging="168" w:hangingChars="100"/>
                    <w:jc w:val="center"/>
                    <w:rPr>
                      <w:rFonts w:hint="eastAsia"/>
                      <w:spacing w:val="-6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-6"/>
                      <w:sz w:val="18"/>
                      <w:szCs w:val="18"/>
                    </w:rPr>
                    <w:t>数据统计分析</w:t>
                  </w:r>
                </w:p>
              </w:tc>
              <w:tc>
                <w:tcPr>
                  <w:tcW w:w="556" w:type="pct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宋体" w:hAnsi="宋体"/>
                      <w:color w:val="auto"/>
                      <w:spacing w:val="-2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1451" w:type="pct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default" w:eastAsia="宋体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pacing w:val="-20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widowControl/>
              <w:jc w:val="left"/>
              <w:rPr>
                <w:rFonts w:hint="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作业文件；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记录表格；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份；详见《记录清单》</w:t>
            </w: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近一年</w:t>
            </w:r>
            <w:r>
              <w:rPr>
                <w:rFonts w:hint="eastAsia"/>
                <w:color w:val="000000"/>
                <w:szCs w:val="18"/>
                <w:highlight w:val="none"/>
              </w:rPr>
              <w:t>，于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2020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年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  <w:highlight w:val="none"/>
              </w:rPr>
              <w:t>月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11-12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highlight w:val="none"/>
              </w:rPr>
              <w:t>内审计划、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highlight w:val="none"/>
              </w:rPr>
              <w:t>内审检查表、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highlight w:val="none"/>
              </w:rPr>
              <w:t>不符合项报告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份、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highlight w:val="none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近一年</w:t>
            </w:r>
            <w:r>
              <w:rPr>
                <w:rFonts w:hint="eastAsia"/>
                <w:color w:val="000000"/>
                <w:szCs w:val="18"/>
                <w:highlight w:val="none"/>
              </w:rPr>
              <w:t>，于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2020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年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12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月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30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8.3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企业按照项目要求进行测绘活动，无设计开发责任    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确认生产/服务流程</w:t>
            </w:r>
          </w:p>
          <w:p>
            <w:pPr>
              <w:rPr>
                <w:color w:val="auto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auto"/>
                <w:highlight w:val="none"/>
              </w:rPr>
              <w:t>确认生产/服务流程</w:t>
            </w:r>
          </w:p>
          <w:p>
            <w:pPr>
              <w:ind w:firstLine="420" w:firstLineChars="200"/>
              <w:rPr>
                <w:rFonts w:hint="eastAsia"/>
                <w:color w:val="auto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/>
                <w:color w:val="auto"/>
                <w:shd w:val="clear" w:color="auto" w:fil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 xml:space="preserve">与提供流程图一致   </w:t>
            </w:r>
            <w:r>
              <w:rPr>
                <w:rFonts w:hint="default"/>
                <w:color w:val="auto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 xml:space="preserve">与提供流程图不一致，说明： </w:t>
            </w:r>
            <w:r>
              <w:rPr>
                <w:rFonts w:hint="eastAsia"/>
                <w:color w:val="auto"/>
                <w:u w:val="single"/>
                <w:shd w:val="clear" w:color="auto" w:fill="auto"/>
                <w:lang w:val="en-US" w:eastAsia="zh-CN"/>
              </w:rPr>
              <w:t xml:space="preserve">                        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质量关键过程（工序）：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外业数据采集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</w:rPr>
              <w:t>；</w:t>
            </w:r>
            <w:r>
              <w:rPr>
                <w:rFonts w:hint="eastAsia"/>
                <w:color w:val="auto"/>
              </w:rPr>
              <w:t>相关控制参数</w:t>
            </w:r>
            <w:r>
              <w:rPr>
                <w:rFonts w:hint="eastAsia"/>
                <w:color w:val="auto"/>
                <w:lang w:val="en-US" w:eastAsia="zh-CN"/>
              </w:rPr>
              <w:t>名称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符合精密度要求 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rPr>
                <w:color w:val="auto"/>
                <w:u w:val="single"/>
              </w:rPr>
            </w:pP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需要确认的过程（工序）：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确认的内容：</w:t>
            </w: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  <w:szCs w:val="21"/>
              </w:rPr>
              <w:t>人员技能、</w:t>
            </w: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  <w:szCs w:val="21"/>
              </w:rPr>
              <w:t>设备能力、</w:t>
            </w: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  <w:szCs w:val="21"/>
              </w:rPr>
              <w:t>原料控制、</w:t>
            </w: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  <w:szCs w:val="21"/>
              </w:rPr>
              <w:t>工艺方法、□工作环境、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破坏性试验</w:t>
            </w: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国际标准、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行业标准、□地方标准、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原辅材料有较大变化；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更换设备或停产后，重新恢复生产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出厂检验与上次的型式检验的结果有较大差异。</w:t>
            </w: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</w:p>
          <w:p>
            <w:pPr>
              <w:rPr>
                <w:rFonts w:hint="eastAsia"/>
                <w:color w:val="000000"/>
                <w:highlight w:val="none"/>
              </w:rPr>
            </w:pP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</w:t>
            </w:r>
            <w:r>
              <w:rPr>
                <w:rFonts w:hint="eastAsia"/>
                <w:color w:val="000000"/>
                <w:lang w:val="en-US" w:eastAsia="zh-CN"/>
              </w:rPr>
              <w:t>重大</w:t>
            </w:r>
            <w:r>
              <w:rPr>
                <w:rFonts w:hint="eastAsia"/>
                <w:color w:val="000000"/>
              </w:rPr>
              <w:t>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见质量目标</w:t>
            </w:r>
            <w:r>
              <w:rPr>
                <w:color w:val="000000"/>
                <w:u w:val="single"/>
              </w:rPr>
              <w:t xml:space="preserve">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auto"/>
                <w:shd w:val="pct10" w:color="auto" w:fill="FFFFFF"/>
              </w:rPr>
            </w:pPr>
            <w:r>
              <w:rPr>
                <w:rFonts w:hint="eastAsia"/>
                <w:color w:val="auto"/>
                <w:shd w:val="pct10" w:color="auto" w:fill="FFFFFF"/>
              </w:rPr>
              <w:t>QMS场所巡查</w:t>
            </w:r>
            <w:r>
              <w:rPr>
                <w:color w:val="auto"/>
                <w:shd w:val="pct10" w:color="auto" w:fill="FFFFFF"/>
              </w:rPr>
              <w:t>: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巡视生产区域（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lang w:val="en-US" w:eastAsia="zh-CN"/>
              </w:rPr>
              <w:t>办公楼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rFonts w:hint="eastAsia"/>
                <w:color w:val="auto"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研发办公室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</w:rPr>
              <w:t>原料/成品</w:t>
            </w:r>
            <w:r>
              <w:rPr>
                <w:rFonts w:hint="eastAsia"/>
                <w:color w:val="auto"/>
              </w:rPr>
              <w:t>库房、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</w:rPr>
              <w:t>可以满足运行要求；□基本可以满足运行要求；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□不可以满足运行要求，说明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  <w:r>
              <w:rPr>
                <w:color w:val="auto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color w:val="auto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□与企业提供的工艺流程不一致；</w:t>
            </w:r>
            <w:r>
              <w:rPr>
                <w:rFonts w:hint="eastAsia"/>
                <w:color w:val="auto"/>
              </w:rPr>
              <w:t>说明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auto"/>
                <w:shd w:val="pct10" w:color="auto" w:fill="FFFFFF"/>
              </w:rPr>
            </w:pPr>
            <w:r>
              <w:rPr>
                <w:rFonts w:hint="eastAsia"/>
                <w:color w:val="auto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观察基础设施（生产设备）</w:t>
            </w:r>
            <w:r>
              <w:rPr>
                <w:rFonts w:hint="eastAsia"/>
                <w:color w:val="auto"/>
                <w:szCs w:val="21"/>
              </w:rPr>
              <w:t>，主要有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台式电脑</w:t>
            </w:r>
            <w:r>
              <w:rPr>
                <w:rFonts w:hint="eastAsia"/>
                <w:color w:val="auto"/>
                <w:u w:val="single"/>
              </w:rPr>
              <w:t>、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笔记本</w:t>
            </w:r>
            <w:r>
              <w:rPr>
                <w:rFonts w:hint="eastAsia"/>
                <w:color w:val="auto"/>
                <w:u w:val="single"/>
              </w:rPr>
              <w:t>、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打印机</w:t>
            </w:r>
            <w:r>
              <w:rPr>
                <w:rFonts w:hint="eastAsia"/>
                <w:color w:val="auto"/>
                <w:u w:val="single"/>
              </w:rPr>
              <w:t>、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fldChar w:fldCharType="begin"/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instrText xml:space="preserve"> HYPERLINK "http://jxchzz.ch.mnr.gov.cn/WorkFlow/Show/javascript:__doPostBack('GVData$ctl06$lbtnName','')" \o "http://jxchzz.ch.mnr.gov.cn/WorkFlow/Show/javascript:__doPostBack('GVData$ctl06$lbtnName','')" </w:instrTex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fldChar w:fldCharType="separate"/>
            </w:r>
            <w:r>
              <w:rPr>
                <w:rFonts w:hint="eastAsia"/>
                <w:color w:val="auto"/>
                <w:u w:val="single"/>
              </w:rPr>
              <w:t>无人飞行器系统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fldChar w:fldCharType="end"/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、遥感图像处理系统、全球导航卫星系统接收机:5mm+1ppm精度以上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运行完好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 xml:space="preserve">运行基本完好 </w:t>
            </w:r>
            <w:r>
              <w:rPr>
                <w:rFonts w:hint="eastAsia"/>
                <w:color w:val="auto"/>
                <w:szCs w:val="21"/>
              </w:rPr>
              <w:t xml:space="preserve">□ </w:t>
            </w:r>
            <w:r>
              <w:rPr>
                <w:rFonts w:hint="eastAsia"/>
                <w:color w:val="auto"/>
              </w:rPr>
              <w:t>运行不完好，说明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观察质量相关的监视和测量设备的种类，</w:t>
            </w:r>
            <w:r>
              <w:rPr>
                <w:rFonts w:hint="eastAsia"/>
                <w:color w:val="auto"/>
                <w:szCs w:val="21"/>
              </w:rPr>
              <w:t>主要有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无</w:t>
            </w:r>
            <w:r>
              <w:rPr>
                <w:color w:val="auto"/>
                <w:u w:val="single"/>
              </w:rPr>
              <w:t xml:space="preserve">  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了解检定/校准情况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合格证标识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校准受控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</w:rPr>
              <w:t xml:space="preserve">校准基本受控 </w:t>
            </w:r>
            <w:r>
              <w:rPr>
                <w:rFonts w:hint="eastAsia"/>
                <w:color w:val="auto"/>
                <w:szCs w:val="21"/>
              </w:rPr>
              <w:t xml:space="preserve">□ </w:t>
            </w:r>
            <w:r>
              <w:rPr>
                <w:rFonts w:hint="eastAsia"/>
                <w:color w:val="auto"/>
              </w:rPr>
              <w:t>校准失控，说明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fldChar w:fldCharType="begin"/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instrText xml:space="preserve"> HYPERLINK "http://jxchzz.ch.mnr.gov.cn/WorkFlow/Show/javascript:__doPostBack('GVData$ctl06$lbtnName','')" \o "http://jxchzz.ch.mnr.gov.cn/WorkFlow/Show/javascript:__doPostBack('GVData$ctl06$lbtnName','')" </w:instrTex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fldChar w:fldCharType="separate"/>
            </w:r>
            <w:r>
              <w:rPr>
                <w:rFonts w:hint="eastAsia"/>
                <w:color w:val="auto"/>
                <w:u w:val="single"/>
              </w:rPr>
              <w:t>手持测距仪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fldChar w:fldCharType="end"/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、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fldChar w:fldCharType="begin"/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instrText xml:space="preserve"> HYPERLINK "http://jxchzz.ch.mnr.gov.cn/WorkFlow/Show/javascript:__doPostBack('GVData$ctl03$lbtnName','')" \o "http://jxchzz.ch.mnr.gov.cn/WorkFlow/Show/javascript:__doPostBack('GVData$ctl03$lbtnName','')" </w:instrTex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fldChar w:fldCharType="separate"/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水准仪S3级精度以上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fldChar w:fldCharType="end"/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、全站仪</w:t>
            </w:r>
            <w:r>
              <w:rPr>
                <w:color w:val="auto"/>
                <w:u w:val="single"/>
              </w:rPr>
              <w:t xml:space="preserve">  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观察使用特种设备的种类并了解定期检测和备案登记情况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）无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场内机动车辆（叉车）；</w:t>
            </w: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  <w:szCs w:val="21"/>
              </w:rPr>
              <w:t>起重机械</w:t>
            </w:r>
            <w:r>
              <w:rPr>
                <w:rFonts w:hint="eastAsia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行车）</w:t>
            </w:r>
            <w:r>
              <w:rPr>
                <w:rFonts w:hint="eastAsia"/>
                <w:color w:val="auto"/>
                <w:szCs w:val="21"/>
              </w:rPr>
              <w:t>；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压力容器；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压力管道；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外购蒸汽</w:t>
            </w:r>
            <w:r>
              <w:rPr>
                <w:rFonts w:hint="eastAsia"/>
                <w:color w:val="auto"/>
                <w:szCs w:val="21"/>
              </w:rPr>
              <w:t>；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电梯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温度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湿度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清洁卫生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照度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噪声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空气流通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5S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非歧视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非对抗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过度疲劳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情绪不稳定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压力过大  </w:t>
            </w: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根据</w:t>
            </w:r>
            <w:r>
              <w:rPr>
                <w:rFonts w:hint="eastAsia"/>
                <w:color w:val="000000"/>
                <w:lang w:val="en-US" w:eastAsia="zh-CN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确认环境影响评价的种类：</w:t>
            </w:r>
          </w:p>
          <w:p>
            <w:pPr>
              <w:rPr>
                <w:rFonts w:hint="default"/>
                <w:color w:val="000000"/>
                <w:szCs w:val="18"/>
                <w:highlight w:val="magenta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环境影响登记表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环境影响报告表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环境影响报告书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其他——无</w:t>
            </w:r>
          </w:p>
          <w:p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环境影响报告表</w:t>
            </w:r>
            <w:r>
              <w:rPr>
                <w:rFonts w:hint="eastAsia"/>
                <w:color w:val="000000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的充分</w:t>
            </w:r>
            <w:r>
              <w:rPr>
                <w:rFonts w:hint="eastAsia"/>
                <w:color w:val="000000"/>
                <w:szCs w:val="18"/>
              </w:rPr>
              <w:t>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充分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评价</w:t>
            </w:r>
            <w:r>
              <w:rPr>
                <w:rFonts w:hint="eastAsia"/>
                <w:color w:val="000000"/>
                <w:szCs w:val="18"/>
              </w:rPr>
              <w:t>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合理性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合理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的有效性 ——固废、火灾</w:t>
            </w:r>
          </w:p>
          <w:p>
            <w:pPr>
              <w:ind w:firstLine="420" w:firstLineChars="200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有效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</w:t>
            </w:r>
            <w:r>
              <w:rPr>
                <w:rFonts w:hint="eastAsia"/>
                <w:color w:val="000000"/>
                <w:szCs w:val="18"/>
                <w:highlight w:val="none"/>
              </w:rPr>
              <w:t>环境法律和其他要求的获取、</w:t>
            </w:r>
            <w:r>
              <w:rPr>
                <w:rFonts w:hint="eastAsia"/>
                <w:color w:val="000000"/>
                <w:szCs w:val="18"/>
              </w:rPr>
              <w:t>识别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和</w:t>
            </w:r>
            <w:r>
              <w:rPr>
                <w:rFonts w:hint="eastAsia"/>
                <w:color w:val="000000"/>
                <w:szCs w:val="18"/>
              </w:rPr>
              <w:t>实施情况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充分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企业进行</w:t>
            </w:r>
            <w:r>
              <w:rPr>
                <w:rFonts w:hint="eastAsia"/>
                <w:color w:val="000000"/>
                <w:szCs w:val="18"/>
              </w:rPr>
              <w:t>合规性评价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的有效性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有效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查看合规性证明（9</w:t>
            </w:r>
            <w:r>
              <w:rPr>
                <w:color w:val="000000"/>
                <w:szCs w:val="18"/>
                <w:highlight w:val="none"/>
              </w:rPr>
              <w:t>8</w:t>
            </w:r>
            <w:r>
              <w:rPr>
                <w:rFonts w:hint="eastAsia"/>
                <w:color w:val="000000"/>
                <w:szCs w:val="18"/>
                <w:highlight w:val="none"/>
              </w:rPr>
              <w:t>年后新扩建的环评验收、环境监测报告）</w:t>
            </w:r>
          </w:p>
          <w:p>
            <w:pPr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无</w:t>
            </w: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有毒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 无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了解危险化学品的MSDS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的收集情况（无）</w:t>
            </w:r>
          </w:p>
          <w:p>
            <w:pPr>
              <w:ind w:firstLine="210" w:firstLineChars="1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充分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种类——</w:t>
            </w:r>
          </w:p>
          <w:p>
            <w:pPr>
              <w:ind w:firstLine="210" w:firstLineChars="10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剧毒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有毒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其他——无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制订了必要的应急预案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未制订了必要的应急预案</w:t>
            </w:r>
          </w:p>
          <w:p>
            <w:pPr>
              <w:ind w:firstLine="210" w:firstLineChars="100"/>
              <w:rPr>
                <w:rFonts w:hint="default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未发生过紧急事件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未进行应急演练 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   </w:t>
            </w: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26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状况</w:t>
            </w:r>
            <w:r>
              <w:rPr>
                <w:rFonts w:hint="eastAsia"/>
                <w:color w:val="000000"/>
                <w:szCs w:val="18"/>
              </w:rPr>
              <w:t>（消防备案或消防验收）</w:t>
            </w:r>
          </w:p>
          <w:p>
            <w:pPr>
              <w:ind w:firstLine="210" w:firstLineChars="10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消防验收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消防备案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被消防部门抽查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被消防部门处罚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其他——有整改通知，已完成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措施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消防栓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灭火器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消防手动报警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消防中控室（如烟感、温感、喷淋）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消防泵房     </w:t>
            </w:r>
          </w:p>
          <w:p>
            <w:pPr>
              <w:ind w:firstLine="210" w:firstLineChars="10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消防卷帘门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</w:tc>
        <w:tc>
          <w:tcPr>
            <w:tcW w:w="1363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26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- 了解环保知识和技能教育的实施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不充分，需要完善： 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- 了解特种作业人员的状况  无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高压电工作业 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低压电工作业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焊接与热切割作业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高处作业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制冷与空调作业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煤矿安全作业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矿山安全作业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石油天然气安全作业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冶金生产安全作业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危险品安全作业 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烟花爆竹安全作业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- 了解特种设备作业人员的状况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场内机动车辆（叉车）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起重机械 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压力容器（气瓶）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压力管道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电梯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锅炉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客运索道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大型游乐设施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</w:t>
            </w:r>
            <w:r>
              <w:rPr>
                <w:rFonts w:hint="eastAsia"/>
                <w:color w:val="000000"/>
                <w:lang w:val="en-US" w:eastAsia="zh-CN"/>
              </w:rPr>
              <w:t>处罚整改</w:t>
            </w:r>
            <w:r>
              <w:rPr>
                <w:rFonts w:hint="eastAsia"/>
                <w:color w:val="000000"/>
              </w:rPr>
              <w:t>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</w:t>
            </w:r>
            <w:r>
              <w:rPr>
                <w:rFonts w:hint="eastAsia"/>
                <w:color w:val="000000"/>
                <w:lang w:val="en-US" w:eastAsia="zh-CN"/>
              </w:rPr>
              <w:t>环保</w:t>
            </w:r>
            <w:r>
              <w:rPr>
                <w:rFonts w:hint="eastAsia"/>
                <w:color w:val="000000"/>
              </w:rPr>
              <w:t>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巡视</w:t>
            </w:r>
            <w:r>
              <w:rPr>
                <w:rFonts w:hint="eastAsia"/>
                <w:color w:val="000000"/>
                <w:lang w:val="en-US" w:eastAsia="zh-CN"/>
              </w:rPr>
              <w:t>厂区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  <w:szCs w:val="18"/>
                <w:highlight w:val="none"/>
              </w:rPr>
              <w:t>查看地理位置图、污水管网图（适用时）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工业区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商业区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生态保护区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了解环境影响的种类：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电能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天然气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压缩空气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蒸汽（外购）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废气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厂界噪声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生活垃圾固体废弃物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危险废弃物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</w:t>
            </w:r>
            <w:r>
              <w:rPr>
                <w:rFonts w:hint="eastAsia"/>
                <w:color w:val="000000"/>
                <w:lang w:val="en-US" w:eastAsia="zh-CN"/>
              </w:rPr>
              <w:t>的状况，存在下列的场所：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10" w:leftChars="100" w:firstLine="0" w:firstLineChars="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改建/扩建施工现场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其他——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确认生产/服务流程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/>
                <w:color w:val="000000"/>
                <w:shd w:val="clear" w:color="auto" w:fil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hd w:val="clear" w:color="auto" w:fill="auto"/>
                <w:lang w:val="en-US" w:eastAsia="zh-CN"/>
              </w:rPr>
              <w:t xml:space="preserve">与提供流程图一致   </w:t>
            </w:r>
            <w:r>
              <w:rPr>
                <w:rFonts w:hint="default"/>
                <w:color w:val="000000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hd w:val="clear" w:color="auto" w:fill="auto"/>
                <w:lang w:val="en-US" w:eastAsia="zh-CN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  <w:shd w:val="clear" w:color="auto" w:fill="auto"/>
                <w:lang w:val="en-US" w:eastAsia="zh-CN"/>
              </w:rPr>
              <w:t xml:space="preserve">   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- 观察</w:t>
            </w:r>
            <w:r>
              <w:rPr>
                <w:rFonts w:hint="eastAsia"/>
                <w:color w:val="000000"/>
                <w:szCs w:val="18"/>
              </w:rPr>
              <w:t>危险化学品的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控制状况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有毒（含剧毒）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其他——无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污水处理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除尘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尾气回收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降噪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废气处理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危废存放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危化品储罐围堰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其他—无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观察环境相关的监视和测量设备的种类并了解检定/校准情况</w:t>
            </w:r>
            <w:r>
              <w:rPr>
                <w:rFonts w:hint="eastAsia"/>
                <w:color w:val="000000"/>
                <w:lang w:val="en-US" w:eastAsia="zh-CN"/>
              </w:rPr>
              <w:t xml:space="preserve">  无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污水在线监测仪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COD监测仪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酸度计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压力表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压差表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温度计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其他——无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</w:t>
            </w:r>
            <w:r>
              <w:rPr>
                <w:rFonts w:hint="eastAsia"/>
                <w:color w:val="000000"/>
                <w:lang w:val="en-US" w:eastAsia="zh-CN"/>
              </w:rPr>
              <w:t>和完好运行</w:t>
            </w:r>
            <w:r>
              <w:rPr>
                <w:rFonts w:hint="eastAsia"/>
                <w:color w:val="000000"/>
              </w:rPr>
              <w:t>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电梯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安全阀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其他——无</w:t>
            </w:r>
          </w:p>
          <w:p>
            <w:pPr>
              <w:jc w:val="left"/>
              <w:rPr>
                <w:rFonts w:hint="eastAsia"/>
                <w:color w:val="000000"/>
              </w:rPr>
            </w:pP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观察总排口是否存在明显违规现象</w:t>
            </w:r>
          </w:p>
          <w:p>
            <w:pPr>
              <w:ind w:firstLine="420" w:firstLineChars="200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无异常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根据</w:t>
            </w:r>
            <w:r>
              <w:rPr>
                <w:rFonts w:hint="eastAsia"/>
                <w:color w:val="000000"/>
                <w:lang w:val="en-US" w:eastAsia="zh-CN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确认职业健康风险的合规证据：无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安全预评估报告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安全现状评估报告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职业健康预评估报告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职业健康现状评估报告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</w:p>
          <w:p>
            <w:pPr>
              <w:pStyle w:val="2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查看健康体检报告：李君永，体检日期：2021.3.25，报告编号：2103257199，体检机构：荣成市人民医院健康管理中心</w:t>
            </w:r>
          </w:p>
          <w:p>
            <w:pPr>
              <w:pStyle w:val="2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王昊，体检日期：2021.4.12，报告编号：2104123780，体检机构：荣成市人民医院健康管理中心</w:t>
            </w:r>
          </w:p>
          <w:p>
            <w:pPr>
              <w:pStyle w:val="2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徐铭伟，体检日期：2021.3.25，报告编号：2103257007，体检机构：荣成市人民医院健康管理中心</w:t>
            </w:r>
          </w:p>
          <w:p>
            <w:pPr>
              <w:ind w:firstLine="1890" w:firstLineChars="900"/>
              <w:rPr>
                <w:rFonts w:hint="default"/>
                <w:color w:val="000000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查看合规性证明（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安评、职评、消防验收</w:t>
            </w:r>
            <w:r>
              <w:rPr>
                <w:rFonts w:hint="eastAsia"/>
                <w:color w:val="000000"/>
                <w:szCs w:val="18"/>
                <w:highlight w:val="none"/>
              </w:rPr>
              <w:t>）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查看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危险源</w:t>
            </w:r>
            <w:r>
              <w:rPr>
                <w:rFonts w:hint="eastAsia"/>
                <w:color w:val="000000"/>
                <w:szCs w:val="18"/>
              </w:rPr>
              <w:t>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辨识的充分</w:t>
            </w:r>
            <w:r>
              <w:rPr>
                <w:rFonts w:hint="eastAsia"/>
                <w:color w:val="000000"/>
                <w:szCs w:val="18"/>
              </w:rPr>
              <w:t>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充分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危险源评价</w:t>
            </w:r>
            <w:r>
              <w:rPr>
                <w:rFonts w:hint="eastAsia"/>
                <w:color w:val="000000"/>
                <w:szCs w:val="18"/>
              </w:rPr>
              <w:t>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合理性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合理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危险源</w:t>
            </w:r>
            <w:r>
              <w:rPr>
                <w:rFonts w:hint="eastAsia"/>
                <w:color w:val="000000"/>
                <w:szCs w:val="18"/>
              </w:rPr>
              <w:t>的控制措施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的有效性 </w:t>
            </w:r>
          </w:p>
          <w:p>
            <w:pPr>
              <w:ind w:firstLine="420" w:firstLineChars="200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有效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和</w:t>
            </w:r>
            <w:r>
              <w:rPr>
                <w:rFonts w:hint="eastAsia"/>
                <w:color w:val="000000"/>
                <w:szCs w:val="18"/>
              </w:rPr>
              <w:t>实施情况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充分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企业进行</w:t>
            </w:r>
            <w:r>
              <w:rPr>
                <w:rFonts w:hint="eastAsia"/>
                <w:color w:val="000000"/>
                <w:szCs w:val="18"/>
              </w:rPr>
              <w:t>合规性评价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的有效性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有效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作业场所有害物质</w:t>
            </w:r>
            <w:r>
              <w:rPr>
                <w:rFonts w:hint="eastAsia"/>
                <w:color w:val="000000"/>
                <w:szCs w:val="18"/>
              </w:rPr>
              <w:t>监测报告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、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职业病体检报告</w:t>
            </w:r>
            <w:r>
              <w:rPr>
                <w:rFonts w:hint="eastAsia"/>
                <w:color w:val="000000"/>
                <w:szCs w:val="18"/>
              </w:rPr>
              <w:t>）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有毒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其他—— 无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种类</w:t>
            </w:r>
          </w:p>
          <w:p>
            <w:pPr>
              <w:ind w:firstLine="210" w:firstLineChars="10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剧毒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有毒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其他——无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状况</w:t>
            </w:r>
            <w:r>
              <w:rPr>
                <w:rFonts w:hint="eastAsia"/>
                <w:color w:val="000000"/>
                <w:szCs w:val="18"/>
              </w:rPr>
              <w:t>（消防备案或消防验收）</w:t>
            </w:r>
          </w:p>
          <w:p>
            <w:pPr>
              <w:ind w:firstLine="210" w:firstLineChars="10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消防验收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消防备案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被消防部门抽查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被消防部门处罚 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其他——无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措施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消防栓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灭火器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消防手动报警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消防中控室（如烟感、温感、喷淋）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消防泵房    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消防卷帘门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防静电/防雷</w:t>
            </w:r>
            <w:r>
              <w:rPr>
                <w:rFonts w:hint="eastAsia"/>
                <w:color w:val="000000"/>
                <w:szCs w:val="18"/>
              </w:rPr>
              <w:t>控制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状况</w:t>
            </w:r>
          </w:p>
          <w:p>
            <w:pPr>
              <w:ind w:firstLine="210" w:firstLineChars="10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检测合格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未检测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被主管部门抽查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被主管部门处罚 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其他——无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制订了必要的应急预案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未制订了必要的应急预案</w:t>
            </w:r>
          </w:p>
          <w:p>
            <w:pPr>
              <w:ind w:firstLine="210" w:firstLineChars="100"/>
              <w:rPr>
                <w:rFonts w:hint="default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未发生过紧急事件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   </w:t>
            </w:r>
          </w:p>
          <w:p>
            <w:pPr>
              <w:ind w:firstLine="210" w:firstLineChars="1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未进行应急演练 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   </w:t>
            </w:r>
          </w:p>
          <w:p>
            <w:pPr>
              <w:ind w:firstLine="210" w:firstLineChars="100"/>
              <w:rPr>
                <w:rFonts w:hint="eastAsia"/>
                <w:color w:val="000000"/>
                <w:u w:val="single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特种作业人员</w:t>
            </w:r>
            <w:r>
              <w:rPr>
                <w:rFonts w:hint="eastAsia"/>
                <w:color w:val="000000"/>
                <w:szCs w:val="18"/>
              </w:rPr>
              <w:t>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状况   无</w:t>
            </w:r>
          </w:p>
          <w:p>
            <w:pPr>
              <w:ind w:firstLine="210" w:firstLineChars="100"/>
              <w:rPr>
                <w:rFonts w:hint="eastAsia"/>
                <w:color w:val="000000"/>
                <w:szCs w:val="22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高压电工作业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低压电工作业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焊接与热切割作业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高处作业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 xml:space="preserve">制冷与空调作业 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 xml:space="preserve">煤矿安全作业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 xml:space="preserve">矿山安全作业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 xml:space="preserve">石油天然气安全作业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冶金生产安全作业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危险</w:t>
            </w:r>
            <w:r>
              <w:rPr>
                <w:rFonts w:hint="eastAsia"/>
                <w:color w:val="000000"/>
                <w:lang w:val="en-US" w:eastAsia="zh-CN"/>
              </w:rPr>
              <w:t xml:space="preserve">品安全作业 </w:t>
            </w:r>
          </w:p>
          <w:p>
            <w:pPr>
              <w:ind w:firstLine="210" w:firstLineChars="100"/>
              <w:rPr>
                <w:rFonts w:hint="default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烟花爆竹</w:t>
            </w:r>
            <w:r>
              <w:rPr>
                <w:rFonts w:hint="eastAsia"/>
                <w:color w:val="000000"/>
                <w:lang w:val="en-US" w:eastAsia="zh-CN"/>
              </w:rPr>
              <w:t xml:space="preserve">安全作业 </w:t>
            </w:r>
          </w:p>
          <w:p>
            <w:pPr>
              <w:ind w:firstLine="210" w:firstLineChars="100"/>
              <w:rPr>
                <w:rFonts w:hint="eastAsia"/>
                <w:color w:val="000000"/>
                <w:u w:val="single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特种设备作业人员</w:t>
            </w:r>
            <w:r>
              <w:rPr>
                <w:rFonts w:hint="eastAsia"/>
                <w:color w:val="000000"/>
                <w:szCs w:val="18"/>
              </w:rPr>
              <w:t>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状况  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气瓶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电梯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hint="eastAsia" w:ascii="PMingLiU" w:hAnsi="PMingLiU" w:cs="PMingLiU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>
            <w:pPr>
              <w:ind w:firstLine="210" w:firstLineChars="1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ind w:firstLine="210" w:firstLineChars="100"/>
              <w:rPr>
                <w:rFonts w:hint="eastAsia"/>
                <w:color w:val="000000"/>
                <w:u w:val="single"/>
                <w:lang w:val="en-US" w:eastAsia="zh-C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职业危害告知</w:t>
            </w:r>
            <w:r>
              <w:rPr>
                <w:rFonts w:hint="eastAsia"/>
                <w:color w:val="000000"/>
                <w:szCs w:val="18"/>
              </w:rPr>
              <w:t>的实施</w:t>
            </w:r>
          </w:p>
          <w:p>
            <w:pPr>
              <w:ind w:firstLine="210" w:firstLineChars="10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hd w:val="pct10" w:color="auto" w:fill="FFFFFF"/>
                <w:lang w:val="en-US" w:eastAsia="zh-CN" w:bidi="ar-SA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  <w:lang w:val="en-US" w:eastAsia="zh-CN"/>
              </w:rPr>
              <w:t>OHS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巡视</w:t>
            </w:r>
            <w:r>
              <w:rPr>
                <w:rFonts w:hint="eastAsia"/>
                <w:color w:val="000000"/>
                <w:lang w:val="en-US" w:eastAsia="zh-CN"/>
              </w:rPr>
              <w:t>厂区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  <w:szCs w:val="18"/>
                <w:highlight w:val="none"/>
              </w:rPr>
              <w:t>查看地理位置图、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厂区平面</w:t>
            </w:r>
            <w:r>
              <w:rPr>
                <w:rFonts w:hint="eastAsia"/>
                <w:color w:val="000000"/>
                <w:szCs w:val="18"/>
                <w:highlight w:val="none"/>
              </w:rPr>
              <w:t>图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工业区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商业区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生态保护区  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了解职业健康安全风险的种类：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机械伤害  </w:t>
            </w:r>
            <w:r>
              <w:rPr>
                <w:rFonts w:hint="eastAsia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  <w:lang w:val="en-US" w:eastAsia="zh-CN"/>
              </w:rPr>
              <w:t xml:space="preserve">触电  </w:t>
            </w: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化学伤害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lang w:eastAsia="zh-CN"/>
              </w:rPr>
              <w:sym w:font="Wingdings 2" w:char="00A3"/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噪声 </w:t>
            </w:r>
            <w:r>
              <w:rPr>
                <w:rFonts w:hint="eastAsia"/>
                <w:highlight w:val="none"/>
                <w:lang w:eastAsia="zh-CN"/>
              </w:rPr>
              <w:sym w:font="Wingdings 2" w:char="00A3"/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粉尘  </w:t>
            </w: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lang w:val="en-US" w:eastAsia="zh-CN"/>
              </w:rPr>
              <w:t xml:space="preserve">危险作业 </w:t>
            </w: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高低温  </w:t>
            </w: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危化品泄露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lang w:val="en-US" w:eastAsia="zh-CN"/>
              </w:rPr>
              <w:t xml:space="preserve">压力容器爆炸  </w:t>
            </w:r>
            <w:r>
              <w:rPr>
                <w:rFonts w:hint="eastAsia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火灾  </w:t>
            </w: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</w:t>
            </w:r>
            <w:r>
              <w:rPr>
                <w:rFonts w:hint="eastAsia"/>
                <w:color w:val="000000"/>
                <w:lang w:val="en-US" w:eastAsia="zh-CN"/>
              </w:rPr>
              <w:t>的状况，存在下列的场所：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10" w:leftChars="100" w:firstLine="0" w:firstLineChars="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改建/扩建施工现场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其他——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确认生产/服务流程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/>
                <w:color w:val="000000"/>
                <w:shd w:val="clear" w:color="auto" w:fil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hd w:val="clear" w:color="auto" w:fill="auto"/>
                <w:lang w:val="en-US" w:eastAsia="zh-CN"/>
              </w:rPr>
              <w:t xml:space="preserve">与提供流程图一致   </w:t>
            </w:r>
            <w:r>
              <w:rPr>
                <w:rFonts w:hint="default"/>
                <w:color w:val="000000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hd w:val="clear" w:color="auto" w:fill="auto"/>
                <w:lang w:val="en-US" w:eastAsia="zh-CN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  <w:shd w:val="clear" w:color="auto" w:fill="auto"/>
                <w:lang w:val="en-US" w:eastAsia="zh-CN"/>
              </w:rPr>
              <w:t xml:space="preserve">   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废气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噪声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固体废弃物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- 观察</w:t>
            </w:r>
            <w:r>
              <w:rPr>
                <w:rFonts w:hint="eastAsia"/>
                <w:color w:val="000000"/>
                <w:szCs w:val="18"/>
              </w:rPr>
              <w:t>危险化学品的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控制状况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有毒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其他——无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</w:t>
            </w:r>
            <w:r>
              <w:rPr>
                <w:rFonts w:hint="eastAsia"/>
                <w:color w:val="000000"/>
                <w:lang w:val="en-US" w:eastAsia="zh-CN"/>
              </w:rPr>
              <w:t>包括</w:t>
            </w:r>
            <w:r>
              <w:rPr>
                <w:rFonts w:hint="eastAsia"/>
                <w:color w:val="000000"/>
              </w:rPr>
              <w:t>环保设备）运行完好</w:t>
            </w:r>
            <w:r>
              <w:rPr>
                <w:rFonts w:hint="eastAsia"/>
                <w:color w:val="000000"/>
                <w:lang w:val="en-US" w:eastAsia="zh-CN"/>
              </w:rPr>
              <w:t>状况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污水处理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除尘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降噪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废气处理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危废存放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危化品储罐围堰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其他——无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</w:t>
            </w:r>
            <w:r>
              <w:rPr>
                <w:rFonts w:hint="eastAsia"/>
                <w:color w:val="000000"/>
                <w:lang w:val="en-US" w:eastAsia="zh-CN"/>
              </w:rPr>
              <w:t>安全装置</w:t>
            </w:r>
            <w:r>
              <w:rPr>
                <w:rFonts w:hint="eastAsia"/>
                <w:color w:val="000000"/>
              </w:rPr>
              <w:t>运行完好</w:t>
            </w:r>
            <w:r>
              <w:rPr>
                <w:rFonts w:hint="eastAsia"/>
                <w:color w:val="000000"/>
                <w:lang w:val="en-US" w:eastAsia="zh-CN"/>
              </w:rPr>
              <w:t>状况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急停按钮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联锁装置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光栅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消防手动报警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安全拉绳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危化品储罐围堰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其他——无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</w:t>
            </w:r>
            <w:r>
              <w:rPr>
                <w:rFonts w:hint="eastAsia"/>
                <w:color w:val="000000"/>
                <w:lang w:val="en-US" w:eastAsia="zh-CN"/>
              </w:rPr>
              <w:t>职业健康安全</w:t>
            </w:r>
            <w:r>
              <w:rPr>
                <w:rFonts w:hint="eastAsia"/>
                <w:color w:val="000000"/>
              </w:rPr>
              <w:t>相关的监视和测量设备的种类并了解检定/校准情况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温度计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压力表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可燃气体报警器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氧气含量测定仪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绝缘摇表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其他——无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</w:t>
            </w:r>
            <w:r>
              <w:rPr>
                <w:rFonts w:hint="eastAsia"/>
                <w:color w:val="000000"/>
                <w:lang w:val="en-US" w:eastAsia="zh-CN"/>
              </w:rPr>
              <w:t>和完好运行</w:t>
            </w:r>
            <w:r>
              <w:rPr>
                <w:rFonts w:hint="eastAsia"/>
                <w:color w:val="000000"/>
              </w:rPr>
              <w:t>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电梯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安全阀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其他——无</w:t>
            </w:r>
          </w:p>
          <w:p>
            <w:pPr>
              <w:jc w:val="left"/>
              <w:rPr>
                <w:rFonts w:hint="eastAsia"/>
                <w:color w:val="000000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观察使用</w:t>
            </w:r>
            <w:r>
              <w:rPr>
                <w:rFonts w:hint="eastAsia"/>
                <w:color w:val="000000"/>
                <w:lang w:val="en-US" w:eastAsia="zh-CN"/>
              </w:rPr>
              <w:t>劳保用品</w:t>
            </w:r>
            <w:r>
              <w:rPr>
                <w:rFonts w:hint="eastAsia"/>
                <w:color w:val="000000"/>
              </w:rPr>
              <w:t>的种类</w:t>
            </w:r>
            <w:r>
              <w:rPr>
                <w:rFonts w:hint="eastAsia"/>
                <w:color w:val="000000"/>
                <w:lang w:val="en-US" w:eastAsia="zh-CN"/>
              </w:rPr>
              <w:t>和配备</w:t>
            </w:r>
            <w:r>
              <w:rPr>
                <w:rFonts w:hint="eastAsia"/>
                <w:color w:val="000000"/>
              </w:rPr>
              <w:t>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安全帽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护目镜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防尘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面罩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防毒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面罩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耳塞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耳罩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防护服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防酸碱手套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绝缘手套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防砸鞋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防穿刺鞋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绝缘鞋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</w:t>
            </w:r>
            <w:r>
              <w:rPr>
                <w:rFonts w:hint="eastAsia"/>
                <w:color w:val="000000"/>
                <w:lang w:val="en-US" w:eastAsia="zh-CN"/>
              </w:rPr>
              <w:t>所有区域</w:t>
            </w:r>
            <w:r>
              <w:rPr>
                <w:rFonts w:hint="eastAsia"/>
                <w:color w:val="000000"/>
              </w:rPr>
              <w:t>是否存在明显违规现象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无异常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default"/>
                <w:color w:val="000000"/>
                <w:u w:val="singl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了解是否存在室外作业的情况</w:t>
            </w:r>
          </w:p>
          <w:p>
            <w:pPr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较多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很少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没有</w:t>
            </w:r>
          </w:p>
          <w:p>
            <w:pPr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了解</w:t>
            </w:r>
            <w:r>
              <w:rPr>
                <w:rFonts w:hint="eastAsia"/>
                <w:color w:val="000000"/>
                <w:lang w:val="en-US" w:eastAsia="zh-CN"/>
              </w:rPr>
              <w:t>周边</w:t>
            </w:r>
            <w:r>
              <w:rPr>
                <w:rFonts w:hint="eastAsia"/>
                <w:color w:val="000000"/>
              </w:rPr>
              <w:t>是否存在</w:t>
            </w:r>
            <w:r>
              <w:rPr>
                <w:rFonts w:hint="eastAsia"/>
                <w:color w:val="000000"/>
                <w:lang w:val="en-US" w:eastAsia="zh-CN"/>
              </w:rPr>
              <w:t>危险源和职业健康安全风险</w:t>
            </w:r>
            <w:r>
              <w:rPr>
                <w:rFonts w:hint="eastAsia"/>
                <w:color w:val="000000"/>
              </w:rPr>
              <w:t>的情况</w:t>
            </w:r>
          </w:p>
          <w:p>
            <w:pPr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较多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很少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没有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2"/>
              </w:numPr>
              <w:ind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注册地址变更                              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认证范围变更                          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□ 其他                                              </w:t>
            </w: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2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识别二阶段审核的资源配置情况</w:t>
            </w:r>
          </w:p>
          <w:p>
            <w:pPr>
              <w:pStyle w:val="15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有生产/服务现场  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领导层可以迎审 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交通食宿 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劳保用品  </w:t>
            </w:r>
          </w:p>
          <w:p>
            <w:pPr>
              <w:pStyle w:val="15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□ 其他：</w:t>
            </w:r>
          </w:p>
          <w:p>
            <w:pPr>
              <w:pStyle w:val="15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            </w:t>
            </w:r>
          </w:p>
          <w:p>
            <w:pPr>
              <w:pStyle w:val="15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识别二阶段审核的可行性</w:t>
            </w:r>
          </w:p>
          <w:p>
            <w:pPr>
              <w:pStyle w:val="15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二阶段日期的可接受性 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审核组成员的可接受性 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一阶段的问题已整改</w:t>
            </w:r>
          </w:p>
          <w:p>
            <w:pPr>
              <w:pStyle w:val="15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□ 不存在影响二阶段审核的问题</w:t>
            </w: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eq5XLSAQAAjw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ueUGKZx4qef&#10;P06//px+fyeLqE/voMS0O4eJYfhoB9yaRz+gM9IeGq/jFwkRjKO6x7O6YgiEozO/WC7zi4ISjrG8&#10;uCouk/zZv9vOQ7gVVpNoVNTj9JKo7PAZAnaCqY8psRhYJeutVCodfLv7pDw5MJz0Nj2xSbzyX5oy&#10;pK/odZEXCdnYeH/MUybiiLQ0U71IfaQYrTDshkmPna2PKMfeedl22GoSJItJOKdUddqpuAhPz2g/&#10;/Y/W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d6rlctIBAACP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788A08"/>
    <w:multiLevelType w:val="singleLevel"/>
    <w:tmpl w:val="E2788A0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6C4A"/>
    <w:rsid w:val="0003373A"/>
    <w:rsid w:val="00050712"/>
    <w:rsid w:val="00062769"/>
    <w:rsid w:val="00074D9E"/>
    <w:rsid w:val="00076F03"/>
    <w:rsid w:val="00097367"/>
    <w:rsid w:val="000C6230"/>
    <w:rsid w:val="000D470C"/>
    <w:rsid w:val="00100C47"/>
    <w:rsid w:val="00103E50"/>
    <w:rsid w:val="00105A91"/>
    <w:rsid w:val="00142813"/>
    <w:rsid w:val="0016190B"/>
    <w:rsid w:val="0019467A"/>
    <w:rsid w:val="001A2D7F"/>
    <w:rsid w:val="001D3EA6"/>
    <w:rsid w:val="0020266E"/>
    <w:rsid w:val="002231B7"/>
    <w:rsid w:val="002E5391"/>
    <w:rsid w:val="00311C11"/>
    <w:rsid w:val="00337922"/>
    <w:rsid w:val="00340867"/>
    <w:rsid w:val="00340955"/>
    <w:rsid w:val="00380837"/>
    <w:rsid w:val="003D039F"/>
    <w:rsid w:val="00410914"/>
    <w:rsid w:val="00476214"/>
    <w:rsid w:val="00480A77"/>
    <w:rsid w:val="004E2167"/>
    <w:rsid w:val="00536930"/>
    <w:rsid w:val="00564E53"/>
    <w:rsid w:val="00577053"/>
    <w:rsid w:val="00577834"/>
    <w:rsid w:val="005C2AC8"/>
    <w:rsid w:val="005E1D4D"/>
    <w:rsid w:val="005F277C"/>
    <w:rsid w:val="005F54B8"/>
    <w:rsid w:val="00622D37"/>
    <w:rsid w:val="00644FE2"/>
    <w:rsid w:val="0067640C"/>
    <w:rsid w:val="0067722B"/>
    <w:rsid w:val="006A51B5"/>
    <w:rsid w:val="006E678B"/>
    <w:rsid w:val="006F4C57"/>
    <w:rsid w:val="0074211D"/>
    <w:rsid w:val="007757F3"/>
    <w:rsid w:val="007E6AEB"/>
    <w:rsid w:val="00824194"/>
    <w:rsid w:val="00854B68"/>
    <w:rsid w:val="00871C15"/>
    <w:rsid w:val="008726E2"/>
    <w:rsid w:val="008973EE"/>
    <w:rsid w:val="008C7D6A"/>
    <w:rsid w:val="0090203B"/>
    <w:rsid w:val="009051F1"/>
    <w:rsid w:val="00916110"/>
    <w:rsid w:val="0093215A"/>
    <w:rsid w:val="00971600"/>
    <w:rsid w:val="00981736"/>
    <w:rsid w:val="009973B4"/>
    <w:rsid w:val="009C0511"/>
    <w:rsid w:val="009F78F1"/>
    <w:rsid w:val="009F7EED"/>
    <w:rsid w:val="00A061E7"/>
    <w:rsid w:val="00A27ED7"/>
    <w:rsid w:val="00AD1D75"/>
    <w:rsid w:val="00AF0AAB"/>
    <w:rsid w:val="00B07E97"/>
    <w:rsid w:val="00B22211"/>
    <w:rsid w:val="00B258C1"/>
    <w:rsid w:val="00B317B8"/>
    <w:rsid w:val="00B90C74"/>
    <w:rsid w:val="00B915AC"/>
    <w:rsid w:val="00B94AE0"/>
    <w:rsid w:val="00BB78B7"/>
    <w:rsid w:val="00BD73F7"/>
    <w:rsid w:val="00BF597E"/>
    <w:rsid w:val="00C15170"/>
    <w:rsid w:val="00C220BC"/>
    <w:rsid w:val="00C35CB6"/>
    <w:rsid w:val="00C51A36"/>
    <w:rsid w:val="00C55228"/>
    <w:rsid w:val="00C616BB"/>
    <w:rsid w:val="00C744D2"/>
    <w:rsid w:val="00CC7D3E"/>
    <w:rsid w:val="00CE315A"/>
    <w:rsid w:val="00D06F59"/>
    <w:rsid w:val="00D21991"/>
    <w:rsid w:val="00D42726"/>
    <w:rsid w:val="00D8388C"/>
    <w:rsid w:val="00E13F1E"/>
    <w:rsid w:val="00E60789"/>
    <w:rsid w:val="00E60CEC"/>
    <w:rsid w:val="00E678D6"/>
    <w:rsid w:val="00E734D5"/>
    <w:rsid w:val="00E96296"/>
    <w:rsid w:val="00EB0164"/>
    <w:rsid w:val="00EC2D9D"/>
    <w:rsid w:val="00ED0F62"/>
    <w:rsid w:val="00ED31DE"/>
    <w:rsid w:val="00F05CBB"/>
    <w:rsid w:val="00F135F7"/>
    <w:rsid w:val="00F17883"/>
    <w:rsid w:val="00F35C3A"/>
    <w:rsid w:val="00F411FF"/>
    <w:rsid w:val="00F71ED3"/>
    <w:rsid w:val="00F85FCD"/>
    <w:rsid w:val="00F9689E"/>
    <w:rsid w:val="023E3548"/>
    <w:rsid w:val="023E7EF8"/>
    <w:rsid w:val="033D1C2C"/>
    <w:rsid w:val="03CC01AD"/>
    <w:rsid w:val="04242A2B"/>
    <w:rsid w:val="048575B6"/>
    <w:rsid w:val="054D24AB"/>
    <w:rsid w:val="05A97751"/>
    <w:rsid w:val="06474D98"/>
    <w:rsid w:val="070248AB"/>
    <w:rsid w:val="074B64AB"/>
    <w:rsid w:val="07550EED"/>
    <w:rsid w:val="07687D49"/>
    <w:rsid w:val="078E5755"/>
    <w:rsid w:val="088E5134"/>
    <w:rsid w:val="089D2465"/>
    <w:rsid w:val="0AE33B94"/>
    <w:rsid w:val="0B0349A4"/>
    <w:rsid w:val="0B445501"/>
    <w:rsid w:val="0BA547CC"/>
    <w:rsid w:val="0BAB3B27"/>
    <w:rsid w:val="0BFC5648"/>
    <w:rsid w:val="0D4802B9"/>
    <w:rsid w:val="0DB13771"/>
    <w:rsid w:val="0E565FCF"/>
    <w:rsid w:val="0E7B2CC7"/>
    <w:rsid w:val="0F0D1284"/>
    <w:rsid w:val="0F751007"/>
    <w:rsid w:val="0FFD4EAC"/>
    <w:rsid w:val="108219C2"/>
    <w:rsid w:val="10957F92"/>
    <w:rsid w:val="109E2734"/>
    <w:rsid w:val="10AB520A"/>
    <w:rsid w:val="11537B43"/>
    <w:rsid w:val="117B7810"/>
    <w:rsid w:val="117E6D5A"/>
    <w:rsid w:val="12787EE6"/>
    <w:rsid w:val="12D12C05"/>
    <w:rsid w:val="130E504F"/>
    <w:rsid w:val="136C5D47"/>
    <w:rsid w:val="13890C34"/>
    <w:rsid w:val="144E55A7"/>
    <w:rsid w:val="148D2021"/>
    <w:rsid w:val="14BA7805"/>
    <w:rsid w:val="14E66BA5"/>
    <w:rsid w:val="157B3FF7"/>
    <w:rsid w:val="16674354"/>
    <w:rsid w:val="16950047"/>
    <w:rsid w:val="16B113AD"/>
    <w:rsid w:val="180B4363"/>
    <w:rsid w:val="184C61B5"/>
    <w:rsid w:val="18A12E8E"/>
    <w:rsid w:val="18BC2642"/>
    <w:rsid w:val="1B121C61"/>
    <w:rsid w:val="1B917B85"/>
    <w:rsid w:val="1B9B6ABA"/>
    <w:rsid w:val="1C2853C6"/>
    <w:rsid w:val="1C5A0E97"/>
    <w:rsid w:val="1C633876"/>
    <w:rsid w:val="1CB32766"/>
    <w:rsid w:val="1DCE5CA3"/>
    <w:rsid w:val="1E1E63FA"/>
    <w:rsid w:val="1F4D1700"/>
    <w:rsid w:val="1F8B7D7A"/>
    <w:rsid w:val="1FA53B1A"/>
    <w:rsid w:val="205B068C"/>
    <w:rsid w:val="21016ED3"/>
    <w:rsid w:val="21517F70"/>
    <w:rsid w:val="217577AF"/>
    <w:rsid w:val="22401A05"/>
    <w:rsid w:val="22847E42"/>
    <w:rsid w:val="22B9290D"/>
    <w:rsid w:val="24130147"/>
    <w:rsid w:val="24564FE2"/>
    <w:rsid w:val="252F00C9"/>
    <w:rsid w:val="25F731AD"/>
    <w:rsid w:val="26241121"/>
    <w:rsid w:val="26826BD1"/>
    <w:rsid w:val="26A36FC5"/>
    <w:rsid w:val="26BA68EB"/>
    <w:rsid w:val="26D86D9D"/>
    <w:rsid w:val="278F25E8"/>
    <w:rsid w:val="28AE480B"/>
    <w:rsid w:val="28B643EE"/>
    <w:rsid w:val="290F2A57"/>
    <w:rsid w:val="29384107"/>
    <w:rsid w:val="29FA5305"/>
    <w:rsid w:val="2ACD303D"/>
    <w:rsid w:val="2B5D50A3"/>
    <w:rsid w:val="2D2D0776"/>
    <w:rsid w:val="2DEB5B9F"/>
    <w:rsid w:val="2EE13094"/>
    <w:rsid w:val="2F2B229D"/>
    <w:rsid w:val="30D4357D"/>
    <w:rsid w:val="322F7AAD"/>
    <w:rsid w:val="32317E8D"/>
    <w:rsid w:val="337866CB"/>
    <w:rsid w:val="33AF40D7"/>
    <w:rsid w:val="340B6163"/>
    <w:rsid w:val="342E5633"/>
    <w:rsid w:val="35577173"/>
    <w:rsid w:val="357300C6"/>
    <w:rsid w:val="35E657FE"/>
    <w:rsid w:val="35EE55C0"/>
    <w:rsid w:val="360E76A0"/>
    <w:rsid w:val="36233D24"/>
    <w:rsid w:val="362C71DC"/>
    <w:rsid w:val="368D4A53"/>
    <w:rsid w:val="37741286"/>
    <w:rsid w:val="38442B85"/>
    <w:rsid w:val="385A4AB2"/>
    <w:rsid w:val="38CF3AE1"/>
    <w:rsid w:val="38DD558D"/>
    <w:rsid w:val="39F32733"/>
    <w:rsid w:val="3A242819"/>
    <w:rsid w:val="3AC608CB"/>
    <w:rsid w:val="3B705E37"/>
    <w:rsid w:val="3B73298E"/>
    <w:rsid w:val="3B9322CF"/>
    <w:rsid w:val="3B951AC9"/>
    <w:rsid w:val="3BBB3FFC"/>
    <w:rsid w:val="3BE22D59"/>
    <w:rsid w:val="3C4A64C8"/>
    <w:rsid w:val="3D1E51E8"/>
    <w:rsid w:val="3D207B84"/>
    <w:rsid w:val="3D662E26"/>
    <w:rsid w:val="3EBF4EFB"/>
    <w:rsid w:val="40D80BB8"/>
    <w:rsid w:val="413D1451"/>
    <w:rsid w:val="42B6013D"/>
    <w:rsid w:val="43CD568A"/>
    <w:rsid w:val="44075A7A"/>
    <w:rsid w:val="44E8380F"/>
    <w:rsid w:val="44FC1CFD"/>
    <w:rsid w:val="45D93BD6"/>
    <w:rsid w:val="462C25D5"/>
    <w:rsid w:val="46656770"/>
    <w:rsid w:val="46F10F46"/>
    <w:rsid w:val="46F31DBC"/>
    <w:rsid w:val="471219E0"/>
    <w:rsid w:val="47776DD1"/>
    <w:rsid w:val="478A2FD4"/>
    <w:rsid w:val="47F86BFC"/>
    <w:rsid w:val="4A040AF9"/>
    <w:rsid w:val="4A474B11"/>
    <w:rsid w:val="4C133CFF"/>
    <w:rsid w:val="4CD55567"/>
    <w:rsid w:val="4D42347D"/>
    <w:rsid w:val="4DB85769"/>
    <w:rsid w:val="4EB553B7"/>
    <w:rsid w:val="4F53083B"/>
    <w:rsid w:val="4F8F6E42"/>
    <w:rsid w:val="50486EB2"/>
    <w:rsid w:val="504978B1"/>
    <w:rsid w:val="50BE533F"/>
    <w:rsid w:val="50F446D1"/>
    <w:rsid w:val="51A77C3C"/>
    <w:rsid w:val="52721D12"/>
    <w:rsid w:val="52B90ED8"/>
    <w:rsid w:val="534070A9"/>
    <w:rsid w:val="53BF203A"/>
    <w:rsid w:val="54050D0D"/>
    <w:rsid w:val="549F5789"/>
    <w:rsid w:val="54AE16F7"/>
    <w:rsid w:val="54AF6381"/>
    <w:rsid w:val="54F02770"/>
    <w:rsid w:val="558E510B"/>
    <w:rsid w:val="567A1F2F"/>
    <w:rsid w:val="56B614C7"/>
    <w:rsid w:val="57732CC8"/>
    <w:rsid w:val="57861203"/>
    <w:rsid w:val="57D23F41"/>
    <w:rsid w:val="58A62B52"/>
    <w:rsid w:val="58BE376D"/>
    <w:rsid w:val="58FB2D96"/>
    <w:rsid w:val="59A56450"/>
    <w:rsid w:val="59FE62E7"/>
    <w:rsid w:val="5A087CD7"/>
    <w:rsid w:val="5AA17491"/>
    <w:rsid w:val="5AA711C2"/>
    <w:rsid w:val="5AC033AF"/>
    <w:rsid w:val="5B926253"/>
    <w:rsid w:val="5BEB433B"/>
    <w:rsid w:val="5C5D1F9F"/>
    <w:rsid w:val="5CD203AA"/>
    <w:rsid w:val="5CED3B39"/>
    <w:rsid w:val="5D3C6685"/>
    <w:rsid w:val="5D5A33F7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7623F4"/>
    <w:rsid w:val="61831066"/>
    <w:rsid w:val="61B66EE3"/>
    <w:rsid w:val="623138DD"/>
    <w:rsid w:val="624A0CFE"/>
    <w:rsid w:val="62A55CAB"/>
    <w:rsid w:val="6413502E"/>
    <w:rsid w:val="6554312D"/>
    <w:rsid w:val="663634DC"/>
    <w:rsid w:val="68F6125C"/>
    <w:rsid w:val="69A27837"/>
    <w:rsid w:val="69F73940"/>
    <w:rsid w:val="6A35028E"/>
    <w:rsid w:val="6A4D59DC"/>
    <w:rsid w:val="6A6370D5"/>
    <w:rsid w:val="6A666DEF"/>
    <w:rsid w:val="6A7E2167"/>
    <w:rsid w:val="6AF11F23"/>
    <w:rsid w:val="6C7B045A"/>
    <w:rsid w:val="6CAF4B0F"/>
    <w:rsid w:val="6E847463"/>
    <w:rsid w:val="6F753E02"/>
    <w:rsid w:val="6FB1089E"/>
    <w:rsid w:val="704F0115"/>
    <w:rsid w:val="706053A5"/>
    <w:rsid w:val="70E63C29"/>
    <w:rsid w:val="70F03A75"/>
    <w:rsid w:val="711D4B74"/>
    <w:rsid w:val="719A2AB9"/>
    <w:rsid w:val="71A03430"/>
    <w:rsid w:val="723B7CC8"/>
    <w:rsid w:val="724868FF"/>
    <w:rsid w:val="727536BE"/>
    <w:rsid w:val="72824AAA"/>
    <w:rsid w:val="72BC26A9"/>
    <w:rsid w:val="73125CA2"/>
    <w:rsid w:val="731A42E7"/>
    <w:rsid w:val="73493AB2"/>
    <w:rsid w:val="735B3E71"/>
    <w:rsid w:val="736232A6"/>
    <w:rsid w:val="74024AB6"/>
    <w:rsid w:val="751506D8"/>
    <w:rsid w:val="75370FDC"/>
    <w:rsid w:val="75E954AA"/>
    <w:rsid w:val="75FF34EF"/>
    <w:rsid w:val="764C516C"/>
    <w:rsid w:val="76CC1AB2"/>
    <w:rsid w:val="7723129E"/>
    <w:rsid w:val="77AD636C"/>
    <w:rsid w:val="77FF042D"/>
    <w:rsid w:val="78416EB9"/>
    <w:rsid w:val="785E4287"/>
    <w:rsid w:val="78951B16"/>
    <w:rsid w:val="799F02CD"/>
    <w:rsid w:val="7A3F52B7"/>
    <w:rsid w:val="7A447DAB"/>
    <w:rsid w:val="7A907574"/>
    <w:rsid w:val="7ADF52F1"/>
    <w:rsid w:val="7AF26147"/>
    <w:rsid w:val="7C6F3237"/>
    <w:rsid w:val="7C942478"/>
    <w:rsid w:val="7CA96862"/>
    <w:rsid w:val="7CFC1DF1"/>
    <w:rsid w:val="7EE831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FFFFFF"/>
        </a:solidFill>
        <a:ln w="9525" cap="flat" cmpd="sng">
          <a:solidFill>
            <a:srgbClr val="000000"/>
          </a:solidFill>
          <a:prstDash val="solid"/>
          <a:miter/>
          <a:headEnd type="none" w="med" len="med"/>
          <a:tailEnd type="none" w="med" len="med"/>
        </a:ln>
      </a:spPr>
      <a:bodyPr upright="1"/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968</Words>
  <Characters>5519</Characters>
  <Lines>45</Lines>
  <Paragraphs>12</Paragraphs>
  <TotalTime>2</TotalTime>
  <ScaleCrop>false</ScaleCrop>
  <LinksUpToDate>false</LinksUpToDate>
  <CharactersWithSpaces>6475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2021-05-28T10:28:56Z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6CDB209AC8AB4E748AFFF5BAD6BC1584</vt:lpwstr>
  </property>
</Properties>
</file>