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成都迅航机电有限公司</w:t>
      </w:r>
      <w:bookmarkEnd w:id="0"/>
    </w:p>
    <w:p>
      <w:pPr>
        <w:snapToGrid w:val="0"/>
        <w:spacing w:after="98" w:afterLines="30"/>
        <w:ind w:firstLine="321" w:firstLineChars="100"/>
        <w:rPr>
          <w:rFonts w:hint="eastAsia"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r>
              <w:rPr>
                <w:b/>
                <w:sz w:val="21"/>
                <w:szCs w:val="21"/>
              </w:rPr>
              <w:t>17.10.02</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w:t>
      </w:r>
      <w:r>
        <w:rPr>
          <w:rFonts w:hint="eastAsia"/>
          <w:b/>
          <w:sz w:val="21"/>
          <w:szCs w:val="21"/>
          <w:lang w:val="en-US" w:eastAsia="zh-CN"/>
        </w:rPr>
        <w:t>监督2</w:t>
      </w:r>
      <w:r>
        <w:rPr>
          <w:rFonts w:hint="eastAsia"/>
          <w:b/>
          <w:sz w:val="21"/>
          <w:szCs w:val="21"/>
        </w:rPr>
        <w:t>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成都迅航机电有限公司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2" w:name="注册地址"/>
            <w:r>
              <w:rPr>
                <w:rFonts w:ascii="宋体"/>
                <w:b/>
                <w:color w:val="auto"/>
                <w:sz w:val="21"/>
              </w:rPr>
              <w:t>成都市新津县五津镇(工业园区A区)兴园8路448号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611430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成都市新津县五津镇(工业园区A区)兴园8路448号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611430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成都市新津县五津镇(工业园区A区)兴园8路448号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611430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李峰</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15828308211</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曾宗强</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曾宗强</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李峰</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2021年05月21日 上午至2021年05月21日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r>
              <w:rPr>
                <w:sz w:val="20"/>
              </w:rPr>
              <w:t>（照明装置、航空燃油系统控制附件、航空发动机点火附件）零件的机械加工</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17.10.02</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Helvetica" w:hAnsi="Helvetica" w:eastAsia="Helvetica" w:cs="Helvetica"/>
                <w:i w:val="0"/>
                <w:caps w:val="0"/>
                <w:color w:val="000000"/>
                <w:spacing w:val="0"/>
                <w:sz w:val="21"/>
                <w:szCs w:val="21"/>
                <w:shd w:val="clear" w:fill="FFFFFF"/>
              </w:rPr>
              <w:t>2022-04-02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2020-4-12</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2020年4月12日至2021年5月21日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pPr w:leftFromText="180" w:rightFromText="180" w:vertAnchor="text" w:horzAnchor="page" w:tblpX="862" w:tblpY="145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9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362" w:type="pct"/>
            <w:vMerge w:val="restart"/>
            <w:textDirection w:val="tbRlV"/>
            <w:vAlign w:val="center"/>
          </w:tcPr>
          <w:p>
            <w:pPr>
              <w:spacing w:line="240" w:lineRule="exact"/>
              <w:ind w:left="201" w:right="113" w:hanging="211" w:hangingChars="100"/>
              <w:jc w:val="center"/>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4637" w:type="pct"/>
          </w:tcPr>
          <w:p>
            <w:pPr>
              <w:spacing w:line="240" w:lineRule="exact"/>
              <w:rPr>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240" w:lineRule="exact"/>
              <w:ind w:firstLine="420" w:firstLineChars="200"/>
              <w:rPr>
                <w:b/>
                <w:color w:val="000000" w:themeColor="text1"/>
                <w:sz w:val="21"/>
                <w:szCs w:val="21"/>
              </w:rPr>
            </w:pPr>
            <w:r>
              <w:rPr>
                <w:rFonts w:hint="eastAsia" w:ascii="宋体" w:hAnsi="宋体"/>
                <w:color w:val="000000" w:themeColor="text1"/>
                <w:sz w:val="21"/>
                <w:szCs w:val="21"/>
              </w:rPr>
              <w:t>组织对内外部因素、相关方需求和期望进行了充分的识别，策划和实施有效。组织确定了体系的边界，基本适用。管理体系</w:t>
            </w:r>
            <w:r>
              <w:rPr>
                <w:rFonts w:hint="eastAsia" w:ascii="宋体" w:hAnsi="宋体"/>
                <w:color w:val="000000" w:themeColor="text1"/>
                <w:sz w:val="21"/>
                <w:szCs w:val="21"/>
                <w:lang w:val="en-US" w:eastAsia="zh-CN"/>
              </w:rPr>
              <w:t>8.3</w:t>
            </w:r>
            <w:r>
              <w:rPr>
                <w:rFonts w:hint="eastAsia" w:ascii="宋体" w:hAnsi="宋体"/>
                <w:color w:val="000000" w:themeColor="text1"/>
                <w:sz w:val="21"/>
                <w:szCs w:val="21"/>
              </w:rPr>
              <w:t>条款</w:t>
            </w:r>
            <w:r>
              <w:rPr>
                <w:rFonts w:hint="eastAsia" w:ascii="宋体" w:hAnsi="宋体"/>
                <w:color w:val="000000" w:themeColor="text1"/>
                <w:sz w:val="21"/>
                <w:szCs w:val="21"/>
                <w:lang w:val="en-US" w:eastAsia="zh-CN"/>
              </w:rPr>
              <w:t>不</w:t>
            </w:r>
            <w:r>
              <w:rPr>
                <w:rFonts w:hint="eastAsia" w:ascii="宋体" w:hAnsi="宋体"/>
                <w:color w:val="000000" w:themeColor="text1"/>
                <w:sz w:val="21"/>
                <w:szCs w:val="21"/>
              </w:rPr>
              <w:t>适用</w:t>
            </w:r>
            <w:r>
              <w:rPr>
                <w:rFonts w:hint="eastAsia" w:ascii="华文楷体" w:hAnsi="华文楷体" w:eastAsia="华文楷体"/>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362" w:type="pct"/>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4637" w:type="pct"/>
          </w:tcPr>
          <w:p>
            <w:pPr>
              <w:spacing w:line="240" w:lineRule="exact"/>
              <w:rPr>
                <w:b/>
                <w:color w:val="000000" w:themeColor="text1"/>
                <w:sz w:val="21"/>
                <w:szCs w:val="21"/>
              </w:rPr>
            </w:pPr>
            <w:r>
              <w:rPr>
                <w:b/>
                <w:color w:val="000000" w:themeColor="text1"/>
                <w:sz w:val="21"/>
                <w:szCs w:val="21"/>
              </w:rPr>
              <w:t>2、</w:t>
            </w:r>
            <w:r>
              <w:rPr>
                <w:rFonts w:hint="eastAsia"/>
                <w:b/>
                <w:color w:val="000000" w:themeColor="text1"/>
                <w:sz w:val="21"/>
                <w:szCs w:val="21"/>
              </w:rPr>
              <w:t>相关方需求和期望识别情况</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362" w:type="pct"/>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4637" w:type="pct"/>
          </w:tcPr>
          <w:p>
            <w:pPr>
              <w:numPr>
                <w:ilvl w:val="0"/>
                <w:numId w:val="1"/>
              </w:numPr>
              <w:spacing w:line="280" w:lineRule="exact"/>
              <w:rPr>
                <w:rFonts w:hint="eastAsia" w:ascii="宋体" w:hAnsi="宋体"/>
                <w:b/>
                <w:color w:val="000000" w:themeColor="text1"/>
                <w:sz w:val="21"/>
                <w:szCs w:val="21"/>
              </w:rPr>
            </w:pPr>
            <w:r>
              <w:rPr>
                <w:rFonts w:hint="eastAsia" w:ascii="宋体" w:hAnsi="宋体"/>
                <w:sz w:val="21"/>
                <w:szCs w:val="21"/>
                <w:lang w:eastAsia="zh-CN"/>
              </w:rPr>
              <w:t>☑</w:t>
            </w:r>
            <w:r>
              <w:rPr>
                <w:rFonts w:hint="eastAsia" w:ascii="宋体" w:hAnsi="宋体"/>
                <w:sz w:val="21"/>
                <w:szCs w:val="21"/>
              </w:rPr>
              <w:t xml:space="preserve"> </w:t>
            </w:r>
            <w:r>
              <w:rPr>
                <w:rFonts w:hint="eastAsia" w:ascii="宋体" w:hAnsi="宋体"/>
                <w:b/>
                <w:color w:val="000000" w:themeColor="text1"/>
                <w:sz w:val="21"/>
                <w:szCs w:val="21"/>
              </w:rPr>
              <w:t>质量/</w:t>
            </w:r>
            <w:r>
              <w:rPr>
                <w:rFonts w:hint="eastAsia" w:ascii="宋体" w:hAnsi="宋体"/>
                <w:sz w:val="21"/>
                <w:szCs w:val="21"/>
              </w:rPr>
              <w:t xml:space="preserve">□ </w:t>
            </w:r>
            <w:r>
              <w:rPr>
                <w:rFonts w:hint="eastAsia" w:ascii="宋体" w:hAnsi="宋体"/>
                <w:b/>
                <w:color w:val="000000" w:themeColor="text1"/>
                <w:sz w:val="21"/>
                <w:szCs w:val="21"/>
              </w:rPr>
              <w:t>环境/</w:t>
            </w:r>
            <w:r>
              <w:rPr>
                <w:rFonts w:hint="eastAsia" w:ascii="宋体" w:hAnsi="宋体"/>
                <w:sz w:val="21"/>
                <w:szCs w:val="21"/>
              </w:rPr>
              <w:t xml:space="preserve">□ </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sz w:val="21"/>
                <w:szCs w:val="21"/>
                <w:lang w:val="en-US" w:eastAsia="zh-CN"/>
              </w:rPr>
            </w:pPr>
            <w:r>
              <w:rPr>
                <w:rFonts w:hint="eastAsia" w:ascii="宋体" w:hAnsi="宋体"/>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sz w:val="21"/>
                <w:szCs w:val="21"/>
                <w:lang w:eastAsia="zh-CN"/>
              </w:rPr>
              <w:t xml:space="preserve"> </w:t>
            </w:r>
            <w:r>
              <w:rPr>
                <w:rFonts w:hint="eastAsia" w:ascii="宋体" w:hAnsi="宋体"/>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362" w:type="pct"/>
            <w:vMerge w:val="continue"/>
            <w:textDirection w:val="tbRlV"/>
            <w:vAlign w:val="center"/>
          </w:tcPr>
          <w:p>
            <w:pPr>
              <w:spacing w:line="240" w:lineRule="exact"/>
              <w:ind w:left="201" w:right="113" w:hanging="211" w:hangingChars="100"/>
              <w:jc w:val="center"/>
              <w:rPr>
                <w:rFonts w:ascii="宋体" w:hAnsi="宋体"/>
                <w:b/>
                <w:color w:val="000000" w:themeColor="text1"/>
                <w:sz w:val="21"/>
                <w:szCs w:val="21"/>
              </w:rPr>
            </w:pPr>
          </w:p>
        </w:tc>
        <w:tc>
          <w:tcPr>
            <w:tcW w:w="4637" w:type="pct"/>
          </w:tcPr>
          <w:p>
            <w:pPr>
              <w:spacing w:line="240" w:lineRule="exact"/>
              <w:rPr>
                <w:b/>
                <w:color w:val="000000" w:themeColor="text1"/>
                <w:sz w:val="21"/>
                <w:szCs w:val="21"/>
              </w:rPr>
            </w:pPr>
            <w:r>
              <w:rPr>
                <w:b/>
                <w:color w:val="000000" w:themeColor="text1"/>
                <w:sz w:val="21"/>
                <w:szCs w:val="21"/>
              </w:rPr>
              <w:t>4、</w:t>
            </w:r>
            <w:r>
              <w:rPr>
                <w:rFonts w:hint="eastAsia"/>
                <w:b/>
                <w:color w:val="000000" w:themeColor="text1"/>
                <w:sz w:val="21"/>
                <w:szCs w:val="21"/>
              </w:rPr>
              <w:t>风险识别与控制策划（QMS）</w:t>
            </w:r>
          </w:p>
          <w:p>
            <w:pPr>
              <w:spacing w:line="240" w:lineRule="exact"/>
              <w:ind w:firstLine="210" w:firstLineChars="100"/>
              <w:rPr>
                <w:rFonts w:ascii="宋体" w:hAnsi="宋体"/>
                <w:color w:val="000000" w:themeColor="text1"/>
                <w:sz w:val="21"/>
                <w:szCs w:val="21"/>
              </w:rPr>
            </w:pPr>
            <w:r>
              <w:rPr>
                <w:rFonts w:hint="eastAsia" w:ascii="宋体" w:hAnsi="宋体"/>
                <w:color w:val="000000" w:themeColor="text1"/>
                <w:sz w:val="21"/>
                <w:szCs w:val="21"/>
              </w:rPr>
              <w:t>制定并实施了相关程序和安全生产管理制度</w:t>
            </w:r>
            <w:r>
              <w:rPr>
                <w:rFonts w:ascii="宋体" w:hAnsi="宋体"/>
                <w:color w:val="000000" w:themeColor="text1"/>
                <w:sz w:val="21"/>
                <w:szCs w:val="21"/>
              </w:rPr>
              <w:t>，</w:t>
            </w:r>
            <w:r>
              <w:rPr>
                <w:rFonts w:hint="eastAsia" w:ascii="宋体" w:hAnsi="宋体"/>
                <w:color w:val="000000" w:themeColor="text1"/>
                <w:sz w:val="21"/>
                <w:szCs w:val="2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300" w:lineRule="exact"/>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spacing w:line="0" w:lineRule="atLeast"/>
              <w:jc w:val="left"/>
              <w:rPr>
                <w:rFonts w:hint="eastAsia" w:ascii="宋体" w:hAnsi="宋体"/>
                <w:sz w:val="21"/>
                <w:szCs w:val="21"/>
              </w:rPr>
            </w:pPr>
            <w:r>
              <w:rPr>
                <w:rFonts w:hint="eastAsia" w:ascii="宋体" w:hAnsi="宋体"/>
                <w:b/>
                <w:color w:val="000000" w:themeColor="text1"/>
                <w:sz w:val="21"/>
                <w:szCs w:val="21"/>
              </w:rPr>
              <w:t>质量管理体系过程有：</w:t>
            </w:r>
            <w:bookmarkStart w:id="28" w:name="审核范围"/>
            <w:r>
              <w:rPr>
                <w:rFonts w:ascii="宋体" w:hAnsi="宋体" w:cs="宋体"/>
                <w:color w:val="000000"/>
                <w:kern w:val="0"/>
                <w:sz w:val="21"/>
                <w:szCs w:val="21"/>
                <w:u w:val="single"/>
              </w:rPr>
              <w:t>（照明装置、航空燃油系统控制附件、航空发动机点火附件）零件的机械加工</w:t>
            </w:r>
            <w:bookmarkEnd w:id="28"/>
          </w:p>
          <w:p>
            <w:pPr>
              <w:tabs>
                <w:tab w:val="left" w:pos="540"/>
              </w:tabs>
              <w:spacing w:line="300" w:lineRule="exact"/>
              <w:rPr>
                <w:rFonts w:hint="eastAsia" w:ascii="宋体" w:hAnsi="宋体" w:eastAsia="宋体"/>
                <w:b/>
                <w:color w:val="auto"/>
                <w:sz w:val="21"/>
                <w:szCs w:val="21"/>
                <w:highlight w:val="none"/>
                <w:u w:val="single"/>
                <w:lang w:eastAsia="zh-CN"/>
              </w:rPr>
            </w:pPr>
            <w:r>
              <w:rPr>
                <w:rFonts w:hint="eastAsia" w:ascii="宋体" w:hAnsi="宋体"/>
                <w:b/>
                <w:color w:val="000000" w:themeColor="text1"/>
                <w:sz w:val="21"/>
                <w:szCs w:val="21"/>
              </w:rPr>
              <w:t>其中关键过程有</w:t>
            </w:r>
            <w:r>
              <w:rPr>
                <w:rFonts w:hint="eastAsia" w:ascii="宋体" w:hAnsi="宋体"/>
                <w:b/>
                <w:color w:val="auto"/>
                <w:sz w:val="21"/>
                <w:szCs w:val="21"/>
                <w:highlight w:val="none"/>
              </w:rPr>
              <w:t>：</w:t>
            </w:r>
            <w:r>
              <w:rPr>
                <w:rFonts w:hint="eastAsia" w:ascii="宋体"/>
                <w:color w:val="auto"/>
                <w:sz w:val="21"/>
                <w:szCs w:val="21"/>
                <w:highlight w:val="none"/>
                <w:lang w:val="en-US" w:eastAsia="zh-CN"/>
              </w:rPr>
              <w:t>表面处理（镀镍）</w:t>
            </w:r>
          </w:p>
          <w:p>
            <w:pPr>
              <w:tabs>
                <w:tab w:val="left" w:pos="540"/>
              </w:tabs>
              <w:spacing w:line="300" w:lineRule="exact"/>
              <w:ind w:left="201" w:hanging="211" w:hangingChars="100"/>
              <w:rPr>
                <w:rFonts w:hint="default" w:ascii="宋体" w:eastAsia="宋体"/>
                <w:color w:val="auto"/>
                <w:sz w:val="21"/>
                <w:szCs w:val="21"/>
                <w:highlight w:val="none"/>
                <w:lang w:val="en-US" w:eastAsia="zh-CN"/>
              </w:rPr>
            </w:pPr>
            <w:r>
              <w:rPr>
                <w:rFonts w:hint="eastAsia" w:ascii="宋体" w:hAnsi="宋体"/>
                <w:b/>
                <w:color w:val="auto"/>
                <w:sz w:val="21"/>
                <w:szCs w:val="21"/>
                <w:highlight w:val="none"/>
              </w:rPr>
              <w:t>需要确认过程：</w:t>
            </w:r>
            <w:r>
              <w:rPr>
                <w:rFonts w:hint="eastAsia" w:ascii="宋体"/>
                <w:color w:val="auto"/>
                <w:sz w:val="21"/>
                <w:szCs w:val="21"/>
                <w:highlight w:val="none"/>
                <w:lang w:val="en-US" w:eastAsia="zh-CN"/>
              </w:rPr>
              <w:t>表面处理（镀镍）</w:t>
            </w:r>
          </w:p>
          <w:p>
            <w:pPr>
              <w:tabs>
                <w:tab w:val="left" w:pos="540"/>
              </w:tabs>
              <w:spacing w:line="300" w:lineRule="exact"/>
              <w:ind w:left="201" w:hanging="211" w:hangingChars="100"/>
              <w:rPr>
                <w:rFonts w:ascii="宋体" w:hAnsi="宋体"/>
                <w:b/>
                <w:color w:val="000000" w:themeColor="text1"/>
                <w:sz w:val="21"/>
                <w:szCs w:val="21"/>
              </w:rPr>
            </w:pPr>
            <w:r>
              <w:rPr>
                <w:rFonts w:ascii="宋体" w:hAnsi="宋体"/>
                <w:b/>
                <w:color w:val="000000" w:themeColor="text1"/>
                <w:sz w:val="21"/>
                <w:szCs w:val="21"/>
                <w:highlight w:val="none"/>
              </w:rPr>
              <w:pict>
                <v:shape id="_x0000_s2051" o:spid="_x0000_s205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highlight w:val="none"/>
              </w:rPr>
              <w:t>不适用条款是</w:t>
            </w:r>
            <w:r>
              <w:rPr>
                <w:rFonts w:hint="eastAsia" w:ascii="宋体" w:hAnsi="宋体"/>
                <w:b/>
                <w:color w:val="000000" w:themeColor="text1"/>
                <w:sz w:val="21"/>
                <w:szCs w:val="21"/>
                <w:highlight w:val="none"/>
                <w:lang w:val="en-US" w:eastAsia="zh-CN"/>
              </w:rPr>
              <w:t xml:space="preserve">  8.3</w:t>
            </w:r>
            <w:r>
              <w:rPr>
                <w:rFonts w:hint="eastAsia" w:ascii="宋体" w:hAnsi="宋体"/>
                <w:b/>
                <w:color w:val="000000" w:themeColor="text1"/>
                <w:sz w:val="21"/>
                <w:szCs w:val="21"/>
                <w:highlight w:val="none"/>
              </w:rPr>
              <w:t xml:space="preserve">  ，不适用理由</w:t>
            </w:r>
            <w:r>
              <w:rPr>
                <w:rFonts w:hint="eastAsia" w:ascii="宋体" w:hAnsi="宋体"/>
                <w:b/>
                <w:color w:val="000000" w:themeColor="text1"/>
                <w:sz w:val="21"/>
                <w:szCs w:val="21"/>
                <w:highlight w:val="none"/>
                <w:lang w:eastAsia="zh-CN"/>
              </w:rPr>
              <w:t>：</w:t>
            </w:r>
            <w:r>
              <w:rPr>
                <w:rFonts w:hint="eastAsia" w:ascii="宋体" w:hAnsi="宋体" w:cs="宋体"/>
                <w:color w:val="000000"/>
                <w:kern w:val="0"/>
                <w:sz w:val="21"/>
                <w:szCs w:val="21"/>
                <w:u w:val="single"/>
              </w:rPr>
              <w:t>公司</w:t>
            </w:r>
            <w:r>
              <w:rPr>
                <w:rFonts w:hint="eastAsia" w:ascii="宋体" w:hAnsi="宋体" w:cs="宋体"/>
                <w:color w:val="000000"/>
                <w:kern w:val="0"/>
                <w:sz w:val="21"/>
                <w:szCs w:val="21"/>
                <w:u w:val="single"/>
                <w:lang w:eastAsia="zh-CN"/>
              </w:rPr>
              <w:t>（照明装置、航空燃油系统控制附件、航空发动机点火附件）零件的机械加工</w:t>
            </w:r>
            <w:r>
              <w:rPr>
                <w:rFonts w:hint="eastAsia" w:ascii="宋体" w:hAnsi="宋体" w:cs="宋体"/>
                <w:color w:val="000000"/>
                <w:kern w:val="0"/>
                <w:sz w:val="21"/>
                <w:szCs w:val="21"/>
                <w:u w:val="single"/>
              </w:rPr>
              <w:t>依据国家成熟工艺,按国家标准的生产技术要求生产,因此标准8.3条款“产品和服务的设计和开发”要求不适用。</w:t>
            </w:r>
            <w:r>
              <w:rPr>
                <w:rFonts w:hint="eastAsia" w:ascii="宋体" w:hAnsi="宋体"/>
                <w:sz w:val="21"/>
                <w:szCs w:val="21"/>
                <w:lang w:val="en-US" w:eastAsia="zh-CN"/>
              </w:rPr>
              <w:t xml:space="preserve">       </w:t>
            </w:r>
            <w:r>
              <w:rPr>
                <w:rFonts w:hint="eastAsia"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300" w:lineRule="exact"/>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r>
              <w:rPr>
                <w:rFonts w:ascii="宋体" w:hAnsi="宋体"/>
                <w:b/>
                <w:color w:val="000000" w:themeColor="text1"/>
                <w:spacing w:val="-12"/>
                <w:sz w:val="21"/>
                <w:szCs w:val="21"/>
              </w:rPr>
              <w:t xml:space="preserve"> </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环境因素</w:t>
            </w:r>
            <w:r>
              <w:rPr>
                <w:rFonts w:hint="eastAsia" w:ascii="宋体" w:hAnsi="宋体"/>
                <w:b/>
                <w:color w:val="000000" w:themeColor="text1"/>
                <w:sz w:val="21"/>
                <w:szCs w:val="21"/>
              </w:rPr>
              <w:t>辨识是否充分、重要环境因素评价合理性，</w:t>
            </w:r>
            <w:r>
              <w:rPr>
                <w:rFonts w:hint="eastAsia" w:ascii="宋体" w:hAnsi="宋体"/>
                <w:b/>
                <w:color w:val="000000" w:themeColor="text1"/>
                <w:spacing w:val="-8"/>
                <w:sz w:val="21"/>
                <w:szCs w:val="21"/>
              </w:rPr>
              <w:t>以及环境因素动态变更的及时性等）</w:t>
            </w:r>
          </w:p>
          <w:p>
            <w:pPr>
              <w:spacing w:line="300" w:lineRule="exact"/>
              <w:ind w:firstLine="316" w:firstLineChars="150"/>
              <w:rPr>
                <w:rFonts w:hint="eastAsia" w:asciiTheme="minorEastAsia" w:hAnsiTheme="minorEastAsia" w:eastAsiaTheme="minorEastAsia"/>
                <w:b/>
                <w:color w:val="000000" w:themeColor="text1"/>
                <w:sz w:val="21"/>
                <w:szCs w:val="21"/>
                <w:lang w:val="en-US" w:eastAsia="zh-CN"/>
              </w:rPr>
            </w:pPr>
            <w:r>
              <w:rPr>
                <w:rFonts w:hint="eastAsia" w:asciiTheme="minorEastAsia" w:hAnsiTheme="minorEastAsia" w:eastAsiaTheme="minor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300" w:lineRule="exact"/>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spacing w:line="300" w:lineRule="exact"/>
              <w:rPr>
                <w:rFonts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00" w:lineRule="exact"/>
              <w:ind w:firstLine="390" w:firstLineChars="200"/>
              <w:rPr>
                <w:rFonts w:hint="default" w:ascii="宋体" w:hAnsi="宋体" w:eastAsia="宋体"/>
                <w:b/>
                <w:color w:val="000000" w:themeColor="text1"/>
                <w:spacing w:val="-8"/>
                <w:sz w:val="21"/>
                <w:szCs w:val="21"/>
                <w:lang w:val="en-US" w:eastAsia="zh-CN"/>
              </w:rPr>
            </w:pPr>
            <w:r>
              <w:rPr>
                <w:rFonts w:hint="eastAsia" w:ascii="宋体" w:hAnsi="宋体"/>
                <w:b/>
                <w:color w:val="000000" w:themeColor="text1"/>
                <w:spacing w:val="-8"/>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tabs>
                <w:tab w:val="left" w:pos="540"/>
              </w:tabs>
              <w:spacing w:line="300" w:lineRule="exact"/>
              <w:rPr>
                <w:rFonts w:ascii="宋体" w:hAnsi="宋体"/>
                <w:b/>
                <w:color w:val="000000" w:themeColor="text1"/>
                <w:sz w:val="21"/>
                <w:szCs w:val="21"/>
              </w:rPr>
            </w:pPr>
            <w:r>
              <w:rPr>
                <w:rFonts w:hint="eastAsia"/>
                <w:b/>
                <w:color w:val="000000" w:themeColor="text1"/>
                <w:sz w:val="21"/>
                <w:szCs w:val="21"/>
              </w:rPr>
              <w:t xml:space="preserve">8. </w:t>
            </w:r>
            <w:r>
              <w:rPr>
                <w:rFonts w:hint="eastAsia" w:ascii="宋体" w:hAnsi="宋体"/>
                <w:b/>
                <w:color w:val="000000" w:themeColor="text1"/>
                <w:spacing w:val="-4"/>
                <w:sz w:val="21"/>
                <w:szCs w:val="21"/>
              </w:rPr>
              <w:t>法律法规及其他要求</w:t>
            </w:r>
          </w:p>
          <w:p>
            <w:pPr>
              <w:numPr>
                <w:ilvl w:val="0"/>
                <w:numId w:val="2"/>
              </w:numPr>
              <w:tabs>
                <w:tab w:val="left" w:pos="540"/>
              </w:tabs>
              <w:spacing w:line="300" w:lineRule="exact"/>
              <w:rPr>
                <w:rFonts w:hint="eastAsia" w:ascii="宋体" w:hAnsi="宋体"/>
                <w:b/>
                <w:color w:val="000000" w:themeColor="text1"/>
                <w:sz w:val="21"/>
                <w:szCs w:val="21"/>
              </w:rPr>
            </w:pPr>
            <w:r>
              <w:rPr>
                <w:rFonts w:hint="eastAsia" w:ascii="宋体" w:hAnsi="宋体"/>
                <w:b/>
                <w:color w:val="000000" w:themeColor="text1"/>
                <w:sz w:val="21"/>
                <w:szCs w:val="21"/>
              </w:rPr>
              <w:t>获取法律法规项，</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法律法规获取充分，□法律法规获取有遗漏，缺少</w:t>
            </w:r>
          </w:p>
          <w:p>
            <w:pPr>
              <w:pStyle w:val="13"/>
              <w:numPr>
                <w:ilvl w:val="0"/>
                <w:numId w:val="0"/>
              </w:numPr>
              <w:tabs>
                <w:tab w:val="left" w:pos="540"/>
              </w:tabs>
              <w:spacing w:line="300" w:lineRule="exact"/>
              <w:ind w:leftChars="0"/>
              <w:rPr>
                <w:rFonts w:ascii="宋体" w:hAnsi="宋体"/>
                <w:b/>
                <w:color w:val="000000" w:themeColor="text1"/>
                <w:sz w:val="21"/>
                <w:szCs w:val="21"/>
              </w:rPr>
            </w:pP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2</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结合公司的</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产品/服务□环境因素□危险源，</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确定 □未确定法律法规要求的具体条款，</w:t>
            </w:r>
          </w:p>
          <w:p>
            <w:pPr>
              <w:pStyle w:val="13"/>
              <w:numPr>
                <w:ilvl w:val="0"/>
                <w:numId w:val="0"/>
              </w:numPr>
              <w:tabs>
                <w:tab w:val="left" w:pos="540"/>
              </w:tabs>
              <w:spacing w:line="300" w:lineRule="exact"/>
              <w:ind w:leftChars="0"/>
              <w:rPr>
                <w:rFonts w:hint="eastAsia" w:ascii="宋体" w:hAnsi="宋体"/>
                <w:b/>
                <w:color w:val="000000" w:themeColor="text1"/>
                <w:sz w:val="21"/>
                <w:szCs w:val="21"/>
              </w:rPr>
            </w:pP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3</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法律法规的宣传方式：培训、会议、张贴。</w:t>
            </w:r>
          </w:p>
          <w:p>
            <w:pPr>
              <w:pStyle w:val="13"/>
              <w:numPr>
                <w:ilvl w:val="0"/>
                <w:numId w:val="0"/>
              </w:numPr>
              <w:tabs>
                <w:tab w:val="left" w:pos="540"/>
              </w:tabs>
              <w:spacing w:line="300" w:lineRule="exact"/>
              <w:ind w:leftChars="0"/>
              <w:rPr>
                <w:rFonts w:ascii="宋体" w:hAnsi="宋体"/>
                <w:b/>
                <w:color w:val="000000" w:themeColor="text1"/>
                <w:sz w:val="21"/>
                <w:szCs w:val="21"/>
              </w:rPr>
            </w:pP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4</w:t>
            </w:r>
            <w:r>
              <w:rPr>
                <w:rFonts w:hint="eastAsia" w:ascii="宋体" w:hAnsi="宋体"/>
                <w:b/>
                <w:color w:val="000000" w:themeColor="text1"/>
                <w:sz w:val="21"/>
                <w:szCs w:val="21"/>
                <w:lang w:eastAsia="zh-CN"/>
              </w:rPr>
              <w:t>）</w:t>
            </w:r>
            <w:r>
              <w:rPr>
                <w:rFonts w:hint="eastAsia" w:ascii="宋体" w:hAnsi="宋体"/>
                <w:b/>
                <w:color w:val="000000" w:themeColor="text1"/>
                <w:sz w:val="21"/>
                <w:szCs w:val="21"/>
              </w:rPr>
              <w:t>法律法规要求及时更新了</w:t>
            </w:r>
          </w:p>
          <w:p>
            <w:pPr>
              <w:tabs>
                <w:tab w:val="left" w:pos="0"/>
              </w:tabs>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300" w:lineRule="exact"/>
              <w:rPr>
                <w:rFonts w:ascii="宋体" w:hAnsi="宋体"/>
                <w:b/>
                <w:color w:val="000000" w:themeColor="text1"/>
                <w:sz w:val="21"/>
                <w:szCs w:val="21"/>
              </w:rPr>
            </w:pPr>
            <w:r>
              <w:rPr>
                <w:rFonts w:hint="eastAsia"/>
                <w:b/>
                <w:color w:val="000000" w:themeColor="text1"/>
                <w:sz w:val="21"/>
                <w:szCs w:val="21"/>
              </w:rPr>
              <w:t xml:space="preserve">9. </w:t>
            </w:r>
            <w:r>
              <w:rPr>
                <w:rFonts w:hint="eastAsia" w:ascii="宋体" w:hAnsi="宋体"/>
                <w:b/>
                <w:color w:val="000000" w:themeColor="text1"/>
                <w:sz w:val="21"/>
                <w:szCs w:val="21"/>
              </w:rPr>
              <w:t>目标、方案</w:t>
            </w:r>
          </w:p>
          <w:p>
            <w:pPr>
              <w:spacing w:line="300" w:lineRule="exact"/>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质量目标</w:t>
            </w:r>
            <w:r>
              <w:rPr>
                <w:rFonts w:hint="eastAsia" w:ascii="宋体" w:hAnsi="宋体" w:cs="宋体"/>
                <w:color w:val="000000"/>
                <w:kern w:val="0"/>
                <w:sz w:val="21"/>
                <w:szCs w:val="21"/>
                <w:lang w:val="en-US" w:eastAsia="zh-CN"/>
              </w:rPr>
              <w:t>：</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一次交验合格率≥95%</w:t>
            </w:r>
          </w:p>
          <w:p>
            <w:pPr>
              <w:spacing w:line="30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产品出厂合格率</w:t>
            </w:r>
            <w:r>
              <w:rPr>
                <w:rFonts w:hint="eastAsia" w:ascii="宋体" w:hAnsi="宋体" w:cs="宋体"/>
                <w:color w:val="000000"/>
                <w:kern w:val="0"/>
                <w:sz w:val="21"/>
                <w:szCs w:val="21"/>
                <w:lang w:val="en-US" w:eastAsia="zh-CN"/>
              </w:rPr>
              <w:t>达到</w:t>
            </w:r>
            <w:r>
              <w:rPr>
                <w:rFonts w:hint="eastAsia" w:ascii="宋体" w:hAnsi="宋体" w:cs="宋体"/>
                <w:color w:val="000000"/>
                <w:kern w:val="0"/>
                <w:sz w:val="21"/>
                <w:szCs w:val="21"/>
              </w:rPr>
              <w:t>100%</w:t>
            </w:r>
          </w:p>
          <w:p>
            <w:pPr>
              <w:spacing w:line="300" w:lineRule="exact"/>
              <w:ind w:firstLine="420" w:firstLineChars="200"/>
              <w:rPr>
                <w:rFonts w:ascii="宋体" w:hAnsi="宋体"/>
                <w:b/>
                <w:color w:val="000000" w:themeColor="text1"/>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240" w:lineRule="exact"/>
              <w:rPr>
                <w:rFonts w:ascii="宋体" w:hAnsi="宋体"/>
                <w:b/>
                <w:color w:val="000000" w:themeColor="text1"/>
                <w:sz w:val="21"/>
                <w:szCs w:val="21"/>
              </w:rPr>
            </w:pPr>
            <w:r>
              <w:rPr>
                <w:rFonts w:hint="eastAsia"/>
                <w:b/>
                <w:color w:val="000000" w:themeColor="text1"/>
                <w:sz w:val="21"/>
                <w:szCs w:val="21"/>
              </w:rPr>
              <w:t>10.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tabs>
                <w:tab w:val="left" w:pos="540"/>
              </w:tabs>
              <w:spacing w:line="240" w:lineRule="exact"/>
              <w:ind w:firstLine="420" w:firstLineChars="200"/>
              <w:rPr>
                <w:rFonts w:ascii="宋体" w:hAnsi="宋体"/>
                <w:b/>
                <w:color w:val="000000" w:themeColor="text1"/>
                <w:sz w:val="21"/>
                <w:szCs w:val="21"/>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lang w:eastAsia="zh-CN"/>
              </w:rPr>
              <w:t>质量管理</w:t>
            </w:r>
            <w:r>
              <w:rPr>
                <w:rFonts w:hint="eastAsia" w:ascii="宋体" w:hAnsi="宋体" w:cs="宋体"/>
                <w:color w:val="000000" w:themeColor="text1"/>
                <w:sz w:val="21"/>
                <w:szCs w:val="21"/>
              </w:rPr>
              <w:t>体系</w:t>
            </w:r>
            <w:r>
              <w:rPr>
                <w:rFonts w:hint="eastAsia" w:ascii="宋体" w:hAnsi="宋体" w:cs="宋体"/>
                <w:color w:val="000000" w:themeColor="text1"/>
                <w:sz w:val="21"/>
                <w:szCs w:val="21"/>
                <w:lang w:eastAsia="zh-CN"/>
              </w:rPr>
              <w:t>文件</w:t>
            </w:r>
            <w:r>
              <w:rPr>
                <w:rFonts w:hint="eastAsia" w:ascii="宋体" w:hAnsi="宋体" w:cs="宋体"/>
                <w:color w:val="000000" w:themeColor="text1"/>
                <w:sz w:val="21"/>
                <w:szCs w:val="21"/>
              </w:rPr>
              <w:t>，体系文件对管理体系各过程进行了识别确定、明确了各要素间的相互关系及其管控要求。公司体系文件于</w:t>
            </w:r>
            <w:r>
              <w:rPr>
                <w:rFonts w:hint="eastAsia" w:ascii="宋体" w:hAnsi="宋体" w:cs="Arial"/>
                <w:color w:val="000000" w:themeColor="text1"/>
                <w:sz w:val="21"/>
                <w:szCs w:val="21"/>
              </w:rPr>
              <w:t>20</w:t>
            </w:r>
            <w:r>
              <w:rPr>
                <w:rFonts w:hint="eastAsia" w:ascii="宋体" w:hAnsi="宋体" w:cs="Arial"/>
                <w:color w:val="000000" w:themeColor="text1"/>
                <w:sz w:val="21"/>
                <w:szCs w:val="21"/>
                <w:lang w:val="en-US" w:eastAsia="zh-CN"/>
              </w:rPr>
              <w:t>18</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6</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2</w:t>
            </w:r>
            <w:r>
              <w:rPr>
                <w:rFonts w:hint="eastAsia" w:ascii="宋体" w:hAnsi="宋体" w:cs="宋体"/>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362" w:type="pct"/>
            <w:vMerge w:val="restart"/>
            <w:textDirection w:val="tbRlV"/>
            <w:vAlign w:val="center"/>
          </w:tcPr>
          <w:p>
            <w:pPr>
              <w:spacing w:line="240" w:lineRule="exact"/>
              <w:ind w:left="113" w:right="113"/>
              <w:jc w:val="center"/>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4637" w:type="pct"/>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ascii="宋体" w:hAnsi="宋体"/>
                <w:sz w:val="21"/>
                <w:szCs w:val="21"/>
                <w:lang w:eastAsia="zh-CN"/>
              </w:rPr>
              <w:t>产品</w:t>
            </w:r>
            <w:r>
              <w:rPr>
                <w:rFonts w:hint="eastAsia" w:ascii="宋体" w:hAnsi="宋体"/>
                <w:sz w:val="21"/>
                <w:szCs w:val="21"/>
              </w:rPr>
              <w:t>的生产</w:t>
            </w:r>
            <w:r>
              <w:rPr>
                <w:rFonts w:hint="eastAsia" w:ascii="宋体" w:hAnsi="宋体"/>
                <w:bCs/>
                <w:iCs/>
                <w:sz w:val="21"/>
                <w:szCs w:val="21"/>
              </w:rPr>
              <w:t>及相关服务运行环境，可以维持管理体系的正常运行。</w:t>
            </w:r>
          </w:p>
          <w:p>
            <w:pPr>
              <w:spacing w:line="300" w:lineRule="exact"/>
              <w:rPr>
                <w:rFonts w:ascii="宋体" w:hAnsi="宋体"/>
                <w:b/>
                <w:color w:val="000000" w:themeColor="text1"/>
                <w:sz w:val="21"/>
                <w:szCs w:val="21"/>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362" w:type="pct"/>
            <w:vMerge w:val="continue"/>
            <w:textDirection w:val="tbRlV"/>
            <w:vAlign w:val="center"/>
          </w:tcPr>
          <w:p>
            <w:pPr>
              <w:spacing w:line="240" w:lineRule="exact"/>
              <w:ind w:left="113" w:right="113"/>
              <w:jc w:val="center"/>
              <w:rPr>
                <w:b/>
                <w:color w:val="000000" w:themeColor="text1"/>
                <w:sz w:val="21"/>
                <w:szCs w:val="21"/>
              </w:rPr>
            </w:pPr>
          </w:p>
        </w:tc>
        <w:tc>
          <w:tcPr>
            <w:tcW w:w="4637" w:type="pct"/>
          </w:tcPr>
          <w:p>
            <w:pPr>
              <w:spacing w:line="240" w:lineRule="exact"/>
              <w:rPr>
                <w:rFonts w:ascii="宋体" w:hAnsi="宋体"/>
                <w:b/>
                <w:color w:val="000000" w:themeColor="text1"/>
                <w:sz w:val="21"/>
                <w:szCs w:val="21"/>
                <w:highlight w:val="none"/>
              </w:rPr>
            </w:pPr>
            <w:r>
              <w:rPr>
                <w:rFonts w:hint="eastAsia" w:ascii="宋体" w:hAnsi="宋体"/>
                <w:b/>
                <w:color w:val="000000" w:themeColor="text1"/>
                <w:sz w:val="21"/>
                <w:szCs w:val="21"/>
                <w:highlight w:val="none"/>
              </w:rPr>
              <w:t>设备设施（包括信息系统）、</w:t>
            </w:r>
          </w:p>
          <w:p>
            <w:pPr>
              <w:ind w:firstLine="420" w:firstLineChars="200"/>
              <w:rPr>
                <w:rFonts w:hint="eastAsia" w:ascii="宋体" w:hAnsi="宋体"/>
                <w:bCs/>
                <w:iCs/>
                <w:sz w:val="21"/>
                <w:szCs w:val="21"/>
                <w:highlight w:val="none"/>
              </w:rPr>
            </w:pPr>
            <w:r>
              <w:rPr>
                <w:rFonts w:hint="eastAsia" w:ascii="宋体" w:hAnsi="宋体"/>
                <w:sz w:val="21"/>
                <w:szCs w:val="21"/>
                <w:highlight w:val="none"/>
              </w:rPr>
              <w:t>办公场所面积</w:t>
            </w:r>
            <w:r>
              <w:rPr>
                <w:rFonts w:hint="eastAsia" w:ascii="宋体" w:hAnsi="宋体"/>
                <w:sz w:val="21"/>
                <w:szCs w:val="21"/>
                <w:highlight w:val="none"/>
                <w:lang w:val="en-US" w:eastAsia="zh-CN"/>
              </w:rPr>
              <w:t>4</w:t>
            </w:r>
            <w:r>
              <w:rPr>
                <w:rFonts w:hint="eastAsia" w:ascii="宋体" w:hAnsi="宋体"/>
                <w:sz w:val="21"/>
                <w:szCs w:val="21"/>
                <w:highlight w:val="none"/>
              </w:rPr>
              <w:t>0</w:t>
            </w:r>
            <w:r>
              <w:rPr>
                <w:rFonts w:hint="eastAsia" w:ascii="宋体" w:hAnsi="宋体"/>
                <w:sz w:val="21"/>
                <w:szCs w:val="21"/>
                <w:highlight w:val="none"/>
                <w:lang w:val="en-US" w:eastAsia="zh-CN"/>
              </w:rPr>
              <w:t>0</w:t>
            </w:r>
            <w:r>
              <w:rPr>
                <w:rFonts w:hint="eastAsia" w:ascii="宋体" w:hAnsi="宋体"/>
                <w:sz w:val="21"/>
                <w:szCs w:val="21"/>
                <w:highlight w:val="none"/>
              </w:rPr>
              <w:t>平方米</w:t>
            </w:r>
            <w:r>
              <w:rPr>
                <w:rFonts w:hint="eastAsia" w:ascii="宋体" w:hAnsi="宋体" w:cs="Times New Roman"/>
                <w:bCs/>
                <w:iCs/>
                <w:sz w:val="21"/>
                <w:szCs w:val="21"/>
                <w:highlight w:val="none"/>
              </w:rPr>
              <w:t>.主要生产设备包括</w:t>
            </w:r>
            <w:r>
              <w:rPr>
                <w:rFonts w:hint="eastAsia" w:ascii="宋体" w:hAnsi="宋体" w:cs="Times New Roman"/>
                <w:bCs/>
                <w:iCs/>
                <w:sz w:val="21"/>
                <w:szCs w:val="21"/>
                <w:highlight w:val="none"/>
                <w:lang w:eastAsia="zh-CN"/>
              </w:rPr>
              <w:t>：</w:t>
            </w:r>
            <w:r>
              <w:rPr>
                <w:rFonts w:hint="eastAsia" w:ascii="宋体" w:hAnsi="宋体"/>
                <w:sz w:val="21"/>
                <w:szCs w:val="21"/>
                <w:highlight w:val="none"/>
                <w:lang w:val="en-US" w:eastAsia="zh-CN"/>
              </w:rPr>
              <w:t>加工中心、磨床、锯床、铣床等23套</w:t>
            </w:r>
            <w:r>
              <w:rPr>
                <w:rFonts w:hint="eastAsia" w:ascii="宋体" w:hAnsi="宋体" w:cs="Times New Roman"/>
                <w:bCs/>
                <w:iCs/>
                <w:sz w:val="21"/>
                <w:szCs w:val="21"/>
                <w:highlight w:val="none"/>
                <w:lang w:eastAsia="zh-CN"/>
              </w:rPr>
              <w:t>，可以</w:t>
            </w:r>
            <w:r>
              <w:rPr>
                <w:rFonts w:hint="eastAsia" w:ascii="宋体" w:hAnsi="宋体" w:cs="Times New Roman"/>
                <w:bCs/>
                <w:iCs/>
                <w:sz w:val="21"/>
                <w:szCs w:val="21"/>
                <w:highlight w:val="none"/>
              </w:rPr>
              <w:t>满足生产需要。对设备按月方式进行点检维护保养，并实</w:t>
            </w:r>
            <w:r>
              <w:rPr>
                <w:rFonts w:hint="eastAsia" w:ascii="宋体" w:hAnsi="宋体"/>
                <w:bCs/>
                <w:iCs/>
                <w:sz w:val="21"/>
                <w:szCs w:val="21"/>
                <w:highlight w:val="none"/>
              </w:rPr>
              <w:t>施。</w:t>
            </w:r>
          </w:p>
          <w:p>
            <w:pPr>
              <w:rPr>
                <w:rFonts w:hint="eastAsia" w:ascii="宋体" w:hAnsi="宋体"/>
                <w:bCs/>
                <w:iCs/>
                <w:sz w:val="21"/>
                <w:szCs w:val="21"/>
                <w:highlight w:val="none"/>
              </w:rPr>
            </w:pPr>
            <w:r>
              <w:rPr>
                <w:rFonts w:hint="eastAsia" w:ascii="宋体" w:hAnsi="宋体"/>
                <w:bCs/>
                <w:iCs/>
                <w:sz w:val="21"/>
                <w:szCs w:val="21"/>
                <w:highlight w:val="none"/>
              </w:rPr>
              <w:t>特种设备：</w:t>
            </w:r>
            <w:r>
              <w:rPr>
                <w:rFonts w:hint="eastAsia" w:ascii="宋体" w:hAnsi="宋体"/>
                <w:bCs/>
                <w:iCs/>
                <w:sz w:val="21"/>
                <w:szCs w:val="21"/>
                <w:highlight w:val="none"/>
                <w:lang w:val="en-US" w:eastAsia="zh-CN"/>
              </w:rPr>
              <w:t>无</w:t>
            </w:r>
          </w:p>
          <w:p>
            <w:pPr>
              <w:rPr>
                <w:rFonts w:ascii="宋体" w:hAnsi="宋体"/>
                <w:b/>
                <w:color w:val="000000" w:themeColor="text1"/>
                <w:sz w:val="21"/>
                <w:szCs w:val="21"/>
                <w:highlight w:val="none"/>
              </w:rPr>
            </w:pPr>
            <w:r>
              <w:rPr>
                <w:rFonts w:hint="eastAsia" w:ascii="宋体" w:hAnsi="宋体"/>
                <w:bCs/>
                <w:iCs/>
                <w:sz w:val="21"/>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362" w:type="pct"/>
            <w:vMerge w:val="continue"/>
            <w:textDirection w:val="tbRlV"/>
            <w:vAlign w:val="center"/>
          </w:tcPr>
          <w:p>
            <w:pPr>
              <w:spacing w:line="240" w:lineRule="exact"/>
              <w:ind w:left="113" w:right="113"/>
              <w:jc w:val="center"/>
              <w:rPr>
                <w:b/>
                <w:color w:val="000000" w:themeColor="text1"/>
                <w:sz w:val="21"/>
                <w:szCs w:val="21"/>
              </w:rPr>
            </w:pPr>
          </w:p>
        </w:tc>
        <w:tc>
          <w:tcPr>
            <w:tcW w:w="4637" w:type="pct"/>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ind w:firstLine="420" w:firstLineChars="200"/>
              <w:rPr>
                <w:rFonts w:ascii="宋体" w:hAnsi="宋体"/>
                <w:b/>
                <w:color w:val="000000" w:themeColor="text1"/>
                <w:sz w:val="21"/>
                <w:szCs w:val="21"/>
              </w:rPr>
            </w:pPr>
            <w:r>
              <w:rPr>
                <w:rFonts w:hint="eastAsia" w:ascii="宋体" w:hAnsi="宋体" w:cs="宋体"/>
                <w:sz w:val="21"/>
                <w:szCs w:val="21"/>
                <w:lang w:val="en-US" w:eastAsia="zh-CN"/>
              </w:rPr>
              <w:t>办公室</w:t>
            </w:r>
            <w:r>
              <w:rPr>
                <w:rFonts w:hint="eastAsia" w:ascii="宋体" w:hAnsi="宋体" w:cs="宋体"/>
                <w:sz w:val="21"/>
                <w:szCs w:val="21"/>
              </w:rPr>
              <w:t>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362" w:type="pct"/>
            <w:vMerge w:val="continue"/>
            <w:textDirection w:val="tbRlV"/>
            <w:vAlign w:val="center"/>
          </w:tcPr>
          <w:p>
            <w:pPr>
              <w:spacing w:line="240" w:lineRule="exact"/>
              <w:ind w:left="113" w:right="113"/>
              <w:jc w:val="center"/>
              <w:rPr>
                <w:b/>
                <w:color w:val="000000" w:themeColor="text1"/>
                <w:sz w:val="21"/>
                <w:szCs w:val="21"/>
              </w:rPr>
            </w:pPr>
          </w:p>
        </w:tc>
        <w:tc>
          <w:tcPr>
            <w:tcW w:w="4637" w:type="pct"/>
          </w:tcPr>
          <w:p>
            <w:pPr>
              <w:spacing w:line="240" w:lineRule="exact"/>
              <w:ind w:firstLine="422" w:firstLineChars="200"/>
              <w:rPr>
                <w:rFonts w:hint="eastAsia" w:ascii="宋体" w:hAnsi="宋体" w:cs="宋体"/>
                <w:color w:val="000000"/>
                <w:sz w:val="21"/>
                <w:szCs w:val="21"/>
              </w:rPr>
            </w:pPr>
            <w:r>
              <w:rPr>
                <w:rFonts w:hint="eastAsia" w:ascii="宋体" w:hAnsi="宋体"/>
                <w:b/>
                <w:color w:val="000000" w:themeColor="text1"/>
                <w:sz w:val="21"/>
                <w:szCs w:val="21"/>
              </w:rPr>
              <w:t>监视和测量资源</w:t>
            </w:r>
          </w:p>
          <w:p>
            <w:pPr>
              <w:spacing w:line="240" w:lineRule="exact"/>
              <w:ind w:firstLine="420" w:firstLineChars="200"/>
              <w:rPr>
                <w:rFonts w:ascii="宋体" w:hAnsi="宋体"/>
                <w:b/>
                <w:color w:val="000000" w:themeColor="text1"/>
                <w:sz w:val="21"/>
                <w:szCs w:val="21"/>
              </w:rPr>
            </w:pPr>
            <w:r>
              <w:rPr>
                <w:rFonts w:hint="eastAsia" w:ascii="宋体" w:hAnsi="宋体" w:cs="宋体"/>
                <w:color w:val="000000"/>
                <w:sz w:val="21"/>
                <w:szCs w:val="21"/>
                <w:highlight w:val="none"/>
              </w:rPr>
              <w:t>均按策划的要求配置了相应的检测设备，均采用委外送检的方式。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362" w:type="pct"/>
            <w:vMerge w:val="continue"/>
            <w:textDirection w:val="tbRlV"/>
            <w:vAlign w:val="center"/>
          </w:tcPr>
          <w:p>
            <w:pPr>
              <w:spacing w:line="240" w:lineRule="exact"/>
              <w:ind w:left="113" w:right="113"/>
              <w:jc w:val="center"/>
              <w:rPr>
                <w:b/>
                <w:color w:val="000000" w:themeColor="text1"/>
                <w:sz w:val="21"/>
                <w:szCs w:val="21"/>
              </w:rPr>
            </w:pPr>
          </w:p>
        </w:tc>
        <w:tc>
          <w:tcPr>
            <w:tcW w:w="4637" w:type="pct"/>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362" w:type="pct"/>
            <w:vMerge w:val="continue"/>
            <w:textDirection w:val="tbRlV"/>
            <w:vAlign w:val="center"/>
          </w:tcPr>
          <w:p>
            <w:pPr>
              <w:spacing w:line="240" w:lineRule="exact"/>
              <w:ind w:left="113" w:right="113"/>
              <w:jc w:val="center"/>
              <w:rPr>
                <w:b/>
                <w:color w:val="000000" w:themeColor="text1"/>
                <w:sz w:val="21"/>
                <w:szCs w:val="21"/>
              </w:rPr>
            </w:pPr>
          </w:p>
        </w:tc>
        <w:tc>
          <w:tcPr>
            <w:tcW w:w="4637" w:type="pct"/>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环保设施：</w:t>
            </w:r>
          </w:p>
          <w:p>
            <w:pPr>
              <w:spacing w:line="240" w:lineRule="exact"/>
              <w:rPr>
                <w:rFonts w:hint="eastAsia" w:ascii="宋体" w:hAnsi="宋体" w:eastAsia="宋体"/>
                <w:color w:val="FF0000"/>
                <w:sz w:val="21"/>
                <w:szCs w:val="21"/>
                <w:lang w:val="en-US" w:eastAsia="zh-CN"/>
              </w:rPr>
            </w:pPr>
            <w:r>
              <w:rPr>
                <w:rFonts w:hint="eastAsia" w:ascii="宋体" w:hAnsi="宋体"/>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362" w:type="pct"/>
            <w:vMerge w:val="continue"/>
            <w:textDirection w:val="tbRlV"/>
            <w:vAlign w:val="center"/>
          </w:tcPr>
          <w:p>
            <w:pPr>
              <w:spacing w:line="240" w:lineRule="exact"/>
              <w:ind w:left="113" w:right="113"/>
              <w:jc w:val="center"/>
              <w:rPr>
                <w:b/>
                <w:color w:val="000000" w:themeColor="text1"/>
                <w:sz w:val="21"/>
                <w:szCs w:val="21"/>
              </w:rPr>
            </w:pPr>
          </w:p>
        </w:tc>
        <w:tc>
          <w:tcPr>
            <w:tcW w:w="4637" w:type="pct"/>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职业健康安全设施：</w:t>
            </w:r>
          </w:p>
          <w:p>
            <w:pPr>
              <w:spacing w:line="240" w:lineRule="exact"/>
              <w:rPr>
                <w:rFonts w:hint="eastAsia" w:ascii="宋体" w:hAnsi="宋体" w:eastAsia="宋体"/>
                <w:color w:val="FF0000"/>
                <w:sz w:val="21"/>
                <w:szCs w:val="21"/>
                <w:lang w:val="en-US" w:eastAsia="zh-CN"/>
              </w:rPr>
            </w:pPr>
            <w:r>
              <w:rPr>
                <w:rFonts w:hint="eastAsia" w:ascii="宋体" w:hAnsi="宋体"/>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362" w:type="pct"/>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(三)体系运行情况</w:t>
            </w:r>
          </w:p>
        </w:tc>
        <w:tc>
          <w:tcPr>
            <w:tcW w:w="4637" w:type="pct"/>
          </w:tcPr>
          <w:p>
            <w:pPr>
              <w:spacing w:line="300" w:lineRule="exact"/>
              <w:rPr>
                <w:b/>
                <w:color w:val="000000" w:themeColor="text1"/>
                <w:sz w:val="21"/>
                <w:szCs w:val="21"/>
              </w:rPr>
            </w:pPr>
            <w:r>
              <w:rPr>
                <w:rFonts w:hint="eastAsia"/>
                <w:b/>
                <w:color w:val="000000" w:themeColor="text1"/>
                <w:sz w:val="21"/>
                <w:szCs w:val="21"/>
              </w:rPr>
              <w:t>1. 针对方针的管理职责评审</w:t>
            </w:r>
          </w:p>
          <w:p>
            <w:pPr>
              <w:spacing w:line="300" w:lineRule="exact"/>
              <w:ind w:left="1"/>
              <w:rPr>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1"/>
                <w:szCs w:val="21"/>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宋体" w:hAnsi="宋体" w:cs="宋体"/>
                <w:color w:val="000000"/>
                <w:sz w:val="21"/>
                <w:szCs w:val="21"/>
              </w:rPr>
              <w:t>内部沟通的效果：良好</w:t>
            </w:r>
          </w:p>
          <w:p>
            <w:pPr>
              <w:spacing w:line="240" w:lineRule="exact"/>
              <w:rPr>
                <w:rFonts w:ascii="楷体_GB2312" w:eastAsia="楷体_GB2312"/>
                <w:b/>
                <w:color w:val="000000" w:themeColor="text1"/>
                <w:sz w:val="21"/>
                <w:szCs w:val="21"/>
              </w:rPr>
            </w:pPr>
          </w:p>
          <w:p>
            <w:pPr>
              <w:spacing w:line="240" w:lineRule="exact"/>
              <w:rPr>
                <w:rFonts w:hint="eastAsia" w:ascii="宋体" w:hAnsi="宋体" w:cs="宋体"/>
                <w:color w:val="000000"/>
                <w:sz w:val="21"/>
                <w:szCs w:val="21"/>
              </w:rPr>
            </w:pPr>
            <w:r>
              <w:rPr>
                <w:rFonts w:hint="eastAsia" w:ascii="楷体_GB2312" w:eastAsia="楷体_GB2312"/>
                <w:b/>
                <w:color w:val="000000" w:themeColor="text1"/>
                <w:sz w:val="21"/>
                <w:szCs w:val="21"/>
              </w:rPr>
              <w:t>组织对外联络，关注顾客的感受情况（QMS）：</w:t>
            </w:r>
            <w:r>
              <w:rPr>
                <w:rFonts w:hint="eastAsia" w:ascii="宋体" w:hAnsi="宋体" w:cs="宋体"/>
                <w:color w:val="000000"/>
                <w:sz w:val="21"/>
                <w:szCs w:val="21"/>
              </w:rPr>
              <w:t>采取顾客满意度调查方式了解顾客感受。</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240" w:lineRule="exact"/>
              <w:rPr>
                <w:b/>
                <w:color w:val="000000" w:themeColor="text1"/>
                <w:sz w:val="21"/>
                <w:szCs w:val="21"/>
              </w:rPr>
            </w:pPr>
            <w:r>
              <w:rPr>
                <w:rFonts w:hint="eastAsia"/>
                <w:b/>
                <w:color w:val="000000" w:themeColor="text1"/>
                <w:sz w:val="21"/>
                <w:szCs w:val="21"/>
              </w:rPr>
              <w:t>3.  QMS 组织对重要过程实施控制的结果</w:t>
            </w:r>
          </w:p>
          <w:p>
            <w:pPr>
              <w:spacing w:line="240" w:lineRule="exact"/>
              <w:ind w:left="206" w:leftChars="42" w:hanging="105" w:hangingChars="50"/>
              <w:rPr>
                <w:b/>
                <w:color w:val="000000" w:themeColor="text1"/>
                <w:sz w:val="21"/>
                <w:szCs w:val="21"/>
              </w:rPr>
            </w:pPr>
            <w:r>
              <w:rPr>
                <w:rFonts w:hint="eastAsia"/>
                <w:b/>
                <w:color w:val="000000" w:themeColor="text1"/>
                <w:sz w:val="21"/>
                <w:szCs w:val="21"/>
              </w:rPr>
              <w:t>(包括对QMS关键工序(过程)、特殊过程控制;评价组织对过程实施控制情况/)</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300" w:lineRule="exact"/>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1"/>
                <w:szCs w:val="21"/>
              </w:rPr>
            </w:pPr>
            <w:r>
              <w:rPr>
                <w:rFonts w:hint="eastAsia"/>
                <w:b/>
                <w:color w:val="000000" w:themeColor="text1"/>
                <w:sz w:val="21"/>
                <w:szCs w:val="21"/>
              </w:rPr>
              <w:t>(应说明相关证据)：</w:t>
            </w:r>
            <w:r>
              <w:rPr>
                <w:rFonts w:hint="eastAsia"/>
                <w:color w:val="000000" w:themeColor="text1"/>
                <w:sz w:val="21"/>
                <w:szCs w:val="21"/>
              </w:rPr>
              <w:t>验收规范、验收</w:t>
            </w:r>
            <w:r>
              <w:rPr>
                <w:rFonts w:hint="eastAsia"/>
                <w:color w:val="000000" w:themeColor="text1"/>
                <w:sz w:val="21"/>
                <w:szCs w:val="21"/>
                <w:lang w:eastAsia="zh-CN"/>
              </w:rPr>
              <w:t>记录</w:t>
            </w:r>
            <w:r>
              <w:rPr>
                <w:rFonts w:hint="eastAsia"/>
                <w:color w:val="000000" w:themeColor="text1"/>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240" w:lineRule="exact"/>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无</w:t>
            </w:r>
          </w:p>
          <w:p>
            <w:pPr>
              <w:spacing w:line="240" w:lineRule="exact"/>
              <w:ind w:firstLine="422" w:firstLineChars="200"/>
              <w:rPr>
                <w:b/>
                <w:color w:val="000000" w:themeColor="text1"/>
                <w:sz w:val="21"/>
                <w:szCs w:val="21"/>
              </w:rPr>
            </w:pPr>
            <w:r>
              <w:rPr>
                <w:rFonts w:hint="eastAsia"/>
                <w:b/>
                <w:color w:val="000000" w:themeColor="text1"/>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240" w:lineRule="exact"/>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240" w:lineRule="exact"/>
              <w:ind w:firstLine="420" w:firstLineChars="200"/>
              <w:rPr>
                <w:b/>
                <w:color w:val="000000" w:themeColor="text1"/>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spacing w:line="240" w:lineRule="exact"/>
              <w:rPr>
                <w:rFonts w:hint="default" w:eastAsia="宋体"/>
                <w:b/>
                <w:color w:val="000000" w:themeColor="text1"/>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240" w:lineRule="exact"/>
              <w:rPr>
                <w:rFonts w:hint="eastAsia"/>
                <w:b/>
                <w:color w:val="000000" w:themeColor="text1"/>
                <w:sz w:val="21"/>
                <w:szCs w:val="21"/>
              </w:rPr>
            </w:pPr>
            <w:r>
              <w:rPr>
                <w:rFonts w:hint="eastAsia"/>
                <w:b/>
                <w:color w:val="000000" w:themeColor="text1"/>
                <w:sz w:val="21"/>
                <w:szCs w:val="21"/>
              </w:rPr>
              <w:t>8. OHS 组织对不可接受风险实施控制的结果</w:t>
            </w:r>
          </w:p>
          <w:p>
            <w:pPr>
              <w:spacing w:line="24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1"/>
                <w:szCs w:val="21"/>
                <w:lang w:val="en-US" w:eastAsia="zh-CN"/>
              </w:rPr>
            </w:pPr>
            <w:r>
              <w:rPr>
                <w:rFonts w:hint="eastAsia" w:asciiTheme="minorEastAsia" w:hAnsiTheme="minorEastAsia" w:eastAsiaTheme="minorEastAsia"/>
                <w:b/>
                <w:color w:val="000000" w:themeColor="text1"/>
                <w:spacing w:val="-4"/>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240" w:lineRule="exact"/>
              <w:rPr>
                <w:b/>
                <w:color w:val="000000" w:themeColor="text1"/>
                <w:sz w:val="21"/>
                <w:szCs w:val="21"/>
                <w:highlight w:val="none"/>
              </w:rPr>
            </w:pPr>
            <w:r>
              <w:rPr>
                <w:rFonts w:hint="eastAsia"/>
                <w:b/>
                <w:color w:val="000000" w:themeColor="text1"/>
                <w:sz w:val="21"/>
                <w:szCs w:val="21"/>
                <w:highlight w:val="none"/>
              </w:rPr>
              <w:t xml:space="preserve">10. 对特种设备的维护; </w:t>
            </w:r>
            <w:r>
              <w:rPr>
                <w:rFonts w:hint="eastAsia"/>
                <w:b/>
                <w:sz w:val="21"/>
                <w:szCs w:val="21"/>
                <w:highlight w:val="none"/>
              </w:rPr>
              <w:t>（适用时）</w:t>
            </w:r>
          </w:p>
          <w:p>
            <w:pPr>
              <w:ind w:left="240" w:leftChars="100" w:firstLine="105" w:firstLineChars="50"/>
              <w:jc w:val="left"/>
              <w:rPr>
                <w:rFonts w:hint="default" w:eastAsia="宋体"/>
                <w:b/>
                <w:color w:val="000000" w:themeColor="text1"/>
                <w:sz w:val="21"/>
                <w:szCs w:val="21"/>
                <w:highlight w:val="none"/>
                <w:lang w:val="en-US" w:eastAsia="zh-CN"/>
              </w:rPr>
            </w:pPr>
            <w:r>
              <w:rPr>
                <w:rFonts w:hint="eastAsia"/>
                <w:b/>
                <w:sz w:val="21"/>
                <w:szCs w:val="21"/>
                <w:highlight w:val="none"/>
              </w:rPr>
              <w:t>特种设备</w:t>
            </w:r>
            <w:r>
              <w:rPr>
                <w:rFonts w:hint="eastAsia"/>
                <w:b/>
                <w:sz w:val="21"/>
                <w:szCs w:val="21"/>
                <w:highlight w:val="none"/>
                <w:lang w:eastAsia="zh-CN"/>
              </w:rPr>
              <w:t>：</w:t>
            </w:r>
            <w:r>
              <w:rPr>
                <w:rFonts w:hint="eastAsia"/>
                <w:b/>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240" w:lineRule="exact"/>
              <w:rPr>
                <w:rFonts w:hint="eastAsia"/>
                <w:b/>
                <w:sz w:val="21"/>
                <w:szCs w:val="21"/>
              </w:rPr>
            </w:pPr>
            <w:r>
              <w:rPr>
                <w:rFonts w:hint="eastAsia"/>
                <w:b/>
                <w:color w:val="000000" w:themeColor="text1"/>
                <w:sz w:val="21"/>
                <w:szCs w:val="21"/>
              </w:rPr>
              <w:t>11 .对危险化学品销售、使用、储存、运输处置，规定的执行力度(必要时);</w:t>
            </w:r>
            <w:r>
              <w:rPr>
                <w:rFonts w:hint="eastAsia"/>
                <w:b/>
                <w:color w:val="FF0000"/>
                <w:sz w:val="21"/>
                <w:szCs w:val="21"/>
              </w:rPr>
              <w:t xml:space="preserve"> </w:t>
            </w:r>
            <w:r>
              <w:rPr>
                <w:rFonts w:hint="eastAsia"/>
                <w:b/>
                <w:sz w:val="21"/>
                <w:szCs w:val="21"/>
              </w:rPr>
              <w:t>（适用时）</w:t>
            </w:r>
          </w:p>
          <w:p>
            <w:pPr>
              <w:spacing w:line="240" w:lineRule="exact"/>
              <w:rPr>
                <w:rFonts w:hint="eastAsia" w:eastAsia="宋体"/>
                <w:color w:val="FF0000"/>
                <w:sz w:val="21"/>
                <w:szCs w:val="21"/>
                <w:lang w:val="en-US" w:eastAsia="zh-CN"/>
              </w:rPr>
            </w:pPr>
            <w:r>
              <w:rPr>
                <w:rFonts w:hint="eastAsia" w:asciiTheme="minorEastAsia" w:hAnsiTheme="minorEastAsia" w:eastAsiaTheme="minorEastAsia"/>
                <w:b/>
                <w:color w:val="000000" w:themeColor="text1"/>
                <w:spacing w:val="-4"/>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362" w:type="pct"/>
            <w:vMerge w:val="restart"/>
            <w:textDirection w:val="tbRlV"/>
            <w:vAlign w:val="center"/>
          </w:tcPr>
          <w:p>
            <w:pPr>
              <w:spacing w:line="240" w:lineRule="exact"/>
              <w:ind w:left="113" w:right="113"/>
              <w:jc w:val="center"/>
              <w:rPr>
                <w:b/>
                <w:color w:val="000000" w:themeColor="text1"/>
                <w:sz w:val="21"/>
                <w:szCs w:val="21"/>
              </w:rPr>
            </w:pPr>
            <w:r>
              <w:rPr>
                <w:rFonts w:hint="eastAsia"/>
                <w:b/>
                <w:color w:val="000000" w:themeColor="text1"/>
                <w:sz w:val="21"/>
                <w:szCs w:val="21"/>
              </w:rPr>
              <w:t>(四)监视测量方面</w:t>
            </w:r>
          </w:p>
        </w:tc>
        <w:tc>
          <w:tcPr>
            <w:tcW w:w="4637" w:type="pct"/>
          </w:tcPr>
          <w:p>
            <w:pPr>
              <w:spacing w:line="240" w:lineRule="exact"/>
              <w:ind w:left="100" w:hanging="105" w:hangingChars="50"/>
              <w:rPr>
                <w:b/>
                <w:color w:val="000000" w:themeColor="text1"/>
                <w:sz w:val="21"/>
                <w:szCs w:val="21"/>
                <w:highlight w:val="none"/>
              </w:rPr>
            </w:pPr>
            <w:r>
              <w:rPr>
                <w:rFonts w:hint="eastAsia"/>
                <w:b/>
                <w:color w:val="000000" w:themeColor="text1"/>
                <w:sz w:val="21"/>
                <w:szCs w:val="21"/>
                <w:highlight w:val="none"/>
              </w:rPr>
              <w:t>1. .对质量/环境/职业健康安全目标指标进行定期监测/检查情况</w:t>
            </w:r>
            <w:r>
              <w:rPr>
                <w:rFonts w:hint="eastAsia"/>
                <w:b/>
                <w:sz w:val="21"/>
                <w:szCs w:val="21"/>
                <w:highlight w:val="none"/>
              </w:rPr>
              <w:t>（适用时）</w:t>
            </w:r>
          </w:p>
          <w:p>
            <w:pPr>
              <w:spacing w:line="240" w:lineRule="exact"/>
              <w:ind w:firstLine="525" w:firstLineChars="250"/>
              <w:rPr>
                <w:b/>
                <w:color w:val="000000" w:themeColor="text1"/>
                <w:sz w:val="21"/>
                <w:szCs w:val="21"/>
                <w:highlight w:val="none"/>
              </w:rPr>
            </w:pPr>
            <w:r>
              <w:rPr>
                <w:rFonts w:hint="eastAsia" w:ascii="宋体" w:hAnsi="宋体" w:cs="宋体"/>
                <w:color w:val="000000"/>
                <w:sz w:val="21"/>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 w:val="21"/>
                <w:szCs w:val="21"/>
                <w:highlight w:val="none"/>
                <w:lang w:val="en-US" w:eastAsia="zh-CN"/>
              </w:rPr>
              <w:t>1月-2020年2</w:t>
            </w:r>
            <w:r>
              <w:rPr>
                <w:rFonts w:hint="eastAsia" w:ascii="宋体" w:hAnsi="宋体" w:cs="宋体"/>
                <w:color w:val="000000"/>
                <w:sz w:val="2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362" w:type="pct"/>
            <w:vMerge w:val="continue"/>
            <w:textDirection w:val="tbRlV"/>
            <w:vAlign w:val="center"/>
          </w:tcPr>
          <w:p>
            <w:pPr>
              <w:spacing w:line="240" w:lineRule="exact"/>
              <w:ind w:left="113" w:right="113"/>
              <w:jc w:val="center"/>
              <w:rPr>
                <w:b/>
                <w:color w:val="000000" w:themeColor="text1"/>
                <w:sz w:val="21"/>
                <w:szCs w:val="21"/>
              </w:rPr>
            </w:pPr>
          </w:p>
        </w:tc>
        <w:tc>
          <w:tcPr>
            <w:tcW w:w="4637" w:type="pct"/>
          </w:tcPr>
          <w:p>
            <w:pPr>
              <w:spacing w:line="240" w:lineRule="exact"/>
              <w:ind w:left="100" w:hanging="105" w:hangingChars="50"/>
              <w:rPr>
                <w:rFonts w:hint="eastAsia"/>
                <w:b/>
                <w:color w:val="000000" w:themeColor="text1"/>
                <w:sz w:val="21"/>
                <w:szCs w:val="21"/>
                <w:highlight w:val="none"/>
              </w:rPr>
            </w:pPr>
            <w:r>
              <w:rPr>
                <w:rFonts w:hint="eastAsia"/>
                <w:b/>
                <w:color w:val="000000" w:themeColor="text1"/>
                <w:sz w:val="21"/>
                <w:szCs w:val="21"/>
                <w:highlight w:val="none"/>
              </w:rPr>
              <w:t>2.顾客满意</w:t>
            </w:r>
          </w:p>
          <w:p>
            <w:pPr>
              <w:spacing w:line="240" w:lineRule="exact"/>
              <w:ind w:left="120" w:leftChars="50" w:firstLine="315" w:firstLineChars="150"/>
              <w:rPr>
                <w:b/>
                <w:color w:val="000000" w:themeColor="text1"/>
                <w:sz w:val="21"/>
                <w:szCs w:val="21"/>
                <w:highlight w:val="none"/>
              </w:rPr>
            </w:pPr>
            <w:r>
              <w:rPr>
                <w:rFonts w:hint="eastAsia" w:ascii="宋体" w:hAnsi="宋体" w:cs="宋体"/>
                <w:color w:val="000000"/>
                <w:sz w:val="21"/>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月实施，满意度评价</w:t>
            </w:r>
            <w:r>
              <w:rPr>
                <w:rFonts w:hint="eastAsia" w:ascii="宋体" w:hAnsi="宋体" w:cs="宋体"/>
                <w:color w:val="000000"/>
                <w:sz w:val="21"/>
                <w:szCs w:val="21"/>
                <w:highlight w:val="none"/>
                <w:lang w:val="en-US" w:eastAsia="zh-CN"/>
              </w:rPr>
              <w:t>98.5%</w:t>
            </w:r>
            <w:r>
              <w:rPr>
                <w:rFonts w:hint="eastAsia" w:ascii="宋体" w:hAnsi="宋体" w:cs="宋体"/>
                <w:color w:val="000000"/>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362" w:type="pct"/>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4637" w:type="pct"/>
          </w:tcPr>
          <w:p>
            <w:pPr>
              <w:spacing w:line="240" w:lineRule="exact"/>
              <w:rPr>
                <w:b/>
                <w:color w:val="000000" w:themeColor="text1"/>
                <w:sz w:val="21"/>
                <w:szCs w:val="21"/>
                <w:highlight w:val="none"/>
              </w:rPr>
            </w:pPr>
            <w:r>
              <w:rPr>
                <w:rFonts w:hint="eastAsia"/>
                <w:b/>
                <w:color w:val="000000" w:themeColor="text1"/>
                <w:sz w:val="21"/>
                <w:szCs w:val="21"/>
                <w:highlight w:val="none"/>
              </w:rPr>
              <w:t>3.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FF0000"/>
                <w:sz w:val="21"/>
                <w:szCs w:val="21"/>
                <w:highlight w:val="none"/>
              </w:rPr>
            </w:pPr>
            <w:r>
              <w:rPr>
                <w:rFonts w:hint="eastAsia" w:ascii="宋体" w:hAnsi="宋体" w:cs="宋体"/>
                <w:color w:val="000000"/>
                <w:sz w:val="21"/>
                <w:szCs w:val="21"/>
                <w:highlight w:val="none"/>
              </w:rPr>
              <w:t>建立有《内部审核控制程序》，规定了内审频次一年一次，内审时间：2019年</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 xml:space="preserve">项， </w:t>
            </w:r>
            <w:r>
              <w:rPr>
                <w:rFonts w:hint="eastAsia" w:ascii="宋体" w:hAnsi="宋体" w:cs="宋体"/>
                <w:sz w:val="21"/>
                <w:szCs w:val="21"/>
                <w:highlight w:val="none"/>
              </w:rPr>
              <w:t>涉及</w:t>
            </w:r>
            <w:r>
              <w:rPr>
                <w:rFonts w:hint="eastAsia" w:ascii="宋体" w:hAnsi="宋体" w:cs="宋体"/>
                <w:sz w:val="21"/>
                <w:szCs w:val="21"/>
                <w:highlight w:val="none"/>
                <w:lang w:val="en-US" w:eastAsia="zh-CN"/>
              </w:rPr>
              <w:t>行政</w:t>
            </w:r>
            <w:r>
              <w:rPr>
                <w:rFonts w:hint="eastAsia" w:ascii="宋体" w:hAnsi="宋体" w:cs="宋体"/>
                <w:sz w:val="21"/>
                <w:szCs w:val="21"/>
                <w:highlight w:val="none"/>
                <w:lang w:eastAsia="zh-CN"/>
              </w:rPr>
              <w:t>部</w:t>
            </w:r>
            <w:r>
              <w:rPr>
                <w:rFonts w:hint="eastAsia" w:ascii="宋体" w:hAnsi="宋体" w:cs="宋体"/>
                <w:sz w:val="21"/>
                <w:szCs w:val="21"/>
                <w:highlight w:val="none"/>
                <w:lang w:val="en-US" w:eastAsia="zh-CN"/>
              </w:rPr>
              <w:t>不符合</w:t>
            </w:r>
            <w:r>
              <w:rPr>
                <w:rFonts w:hint="eastAsia" w:ascii="宋体" w:hAnsi="宋体" w:cs="宋体"/>
                <w:sz w:val="21"/>
                <w:szCs w:val="21"/>
                <w:highlight w:val="none"/>
              </w:rPr>
              <w:t>标准</w:t>
            </w:r>
            <w:r>
              <w:rPr>
                <w:rFonts w:hint="eastAsia"/>
                <w:sz w:val="21"/>
                <w:szCs w:val="21"/>
                <w:highlight w:val="none"/>
                <w:lang w:val="en-US" w:eastAsia="zh-CN"/>
              </w:rPr>
              <w:t>7.2</w:t>
            </w:r>
            <w:r>
              <w:rPr>
                <w:rFonts w:hint="eastAsia" w:ascii="宋体" w:hAnsi="宋体" w:cs="宋体"/>
                <w:sz w:val="21"/>
                <w:szCs w:val="21"/>
                <w:highlight w:val="none"/>
              </w:rPr>
              <w:t>条款</w:t>
            </w:r>
            <w:r>
              <w:rPr>
                <w:rFonts w:hint="eastAsia" w:ascii="宋体" w:hAnsi="宋体" w:cs="宋体"/>
                <w:sz w:val="21"/>
                <w:szCs w:val="21"/>
                <w:highlight w:val="none"/>
                <w:lang w:eastAsia="zh-CN"/>
              </w:rPr>
              <w:t>，</w:t>
            </w:r>
            <w:r>
              <w:rPr>
                <w:rFonts w:hint="eastAsia" w:ascii="宋体" w:hAnsi="宋体" w:cs="宋体"/>
                <w:color w:val="000000"/>
                <w:sz w:val="21"/>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362" w:type="pct"/>
            <w:vMerge w:val="continue"/>
            <w:textDirection w:val="tbRlV"/>
            <w:vAlign w:val="center"/>
          </w:tcPr>
          <w:p>
            <w:pPr>
              <w:spacing w:line="240" w:lineRule="exact"/>
              <w:ind w:left="201" w:right="113" w:hanging="211" w:hangingChars="100"/>
              <w:jc w:val="center"/>
              <w:rPr>
                <w:b/>
                <w:color w:val="000000" w:themeColor="text1"/>
                <w:sz w:val="21"/>
                <w:szCs w:val="21"/>
              </w:rPr>
            </w:pPr>
          </w:p>
        </w:tc>
        <w:tc>
          <w:tcPr>
            <w:tcW w:w="4637" w:type="pct"/>
          </w:tcPr>
          <w:p>
            <w:pPr>
              <w:spacing w:line="240" w:lineRule="exact"/>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240" w:lineRule="exact"/>
              <w:ind w:firstLine="420" w:firstLineChars="200"/>
              <w:rPr>
                <w:b/>
                <w:color w:val="000000" w:themeColor="text1"/>
                <w:sz w:val="21"/>
                <w:szCs w:val="21"/>
              </w:rPr>
            </w:pPr>
            <w:r>
              <w:rPr>
                <w:rFonts w:hint="eastAsia" w:ascii="宋体" w:hAnsi="宋体" w:cs="宋体"/>
                <w:sz w:val="21"/>
                <w:szCs w:val="21"/>
              </w:rPr>
              <w:t>管理评审频次为一年一次、本次管理评审于</w:t>
            </w:r>
            <w:r>
              <w:rPr>
                <w:rFonts w:hint="eastAsia" w:ascii="宋体" w:hAnsi="宋体"/>
                <w:kern w:val="0"/>
                <w:sz w:val="21"/>
                <w:szCs w:val="21"/>
              </w:rPr>
              <w:t>2019年</w:t>
            </w:r>
            <w:r>
              <w:rPr>
                <w:rFonts w:hint="eastAsia" w:ascii="宋体" w:hAnsi="宋体"/>
                <w:kern w:val="0"/>
                <w:sz w:val="21"/>
                <w:szCs w:val="21"/>
                <w:lang w:val="en-US" w:eastAsia="zh-CN"/>
              </w:rPr>
              <w:t>12</w:t>
            </w:r>
            <w:r>
              <w:rPr>
                <w:rFonts w:hint="eastAsia" w:ascii="宋体" w:hAnsi="宋体"/>
                <w:kern w:val="0"/>
                <w:sz w:val="21"/>
                <w:szCs w:val="21"/>
              </w:rPr>
              <w:t>月</w:t>
            </w:r>
            <w:r>
              <w:rPr>
                <w:rFonts w:hint="eastAsia" w:ascii="宋体" w:hAnsi="宋体"/>
                <w:kern w:val="0"/>
                <w:sz w:val="21"/>
                <w:szCs w:val="21"/>
                <w:lang w:val="en-US" w:eastAsia="zh-CN"/>
              </w:rPr>
              <w:t>31</w:t>
            </w:r>
            <w:r>
              <w:rPr>
                <w:rFonts w:hint="eastAsia" w:ascii="宋体" w:hAnsi="宋体"/>
                <w:kern w:val="0"/>
                <w:sz w:val="21"/>
                <w:szCs w:val="21"/>
              </w:rPr>
              <w:t>日</w:t>
            </w:r>
            <w:r>
              <w:rPr>
                <w:rFonts w:hint="eastAsia" w:ascii="宋体" w:hAnsi="宋体" w:cs="宋体"/>
                <w:sz w:val="2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240" w:lineRule="exact"/>
              <w:rPr>
                <w:rFonts w:hint="eastAsia"/>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ind w:firstLine="210" w:firstLineChars="100"/>
              <w:rPr>
                <w:rFonts w:hint="eastAsia" w:eastAsia="宋体"/>
                <w:color w:val="FF0000"/>
                <w:sz w:val="21"/>
                <w:szCs w:val="21"/>
                <w:lang w:val="en-US" w:eastAsia="zh-CN"/>
              </w:rPr>
            </w:pPr>
            <w:r>
              <w:rPr>
                <w:rFonts w:hint="eastAsia"/>
                <w:color w:val="FF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300" w:lineRule="exact"/>
              <w:rPr>
                <w:rFonts w:hint="eastAsia" w:eastAsia="宋体"/>
                <w:b/>
                <w:color w:val="000000" w:themeColor="text1"/>
                <w:sz w:val="21"/>
                <w:szCs w:val="21"/>
                <w:lang w:val="en-US" w:eastAsia="zh-CN"/>
              </w:rPr>
            </w:pPr>
            <w:r>
              <w:rPr>
                <w:rFonts w:hint="eastAsia"/>
                <w:b/>
                <w:color w:val="000000" w:themeColor="text1"/>
                <w:sz w:val="21"/>
                <w:szCs w:val="21"/>
                <w:lang w:val="en-US" w:eastAsia="zh-CN"/>
              </w:rPr>
              <w:t>/</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362" w:type="pct"/>
            <w:vMerge w:val="continue"/>
            <w:vAlign w:val="center"/>
          </w:tcPr>
          <w:p>
            <w:pPr>
              <w:spacing w:line="240" w:lineRule="exact"/>
              <w:jc w:val="center"/>
              <w:rPr>
                <w:b/>
                <w:color w:val="000000" w:themeColor="text1"/>
                <w:sz w:val="21"/>
                <w:szCs w:val="21"/>
              </w:rPr>
            </w:pPr>
          </w:p>
        </w:tc>
        <w:tc>
          <w:tcPr>
            <w:tcW w:w="4637" w:type="pct"/>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rFonts w:hint="eastAsia" w:eastAsia="宋体"/>
                <w:b/>
                <w:color w:val="FF0000"/>
                <w:sz w:val="21"/>
                <w:szCs w:val="21"/>
                <w:lang w:val="en-US" w:eastAsia="zh-CN"/>
              </w:rPr>
            </w:pPr>
            <w:r>
              <w:rPr>
                <w:rFonts w:hint="eastAsia"/>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2" w:type="pct"/>
            <w:vMerge w:val="continue"/>
            <w:tcBorders>
              <w:bottom w:val="single" w:color="auto" w:sz="4" w:space="0"/>
            </w:tcBorders>
            <w:vAlign w:val="center"/>
          </w:tcPr>
          <w:p>
            <w:pPr>
              <w:spacing w:line="240" w:lineRule="exact"/>
              <w:jc w:val="center"/>
              <w:rPr>
                <w:b/>
                <w:color w:val="000000" w:themeColor="text1"/>
                <w:sz w:val="21"/>
                <w:szCs w:val="21"/>
              </w:rPr>
            </w:pPr>
          </w:p>
        </w:tc>
        <w:tc>
          <w:tcPr>
            <w:tcW w:w="4637" w:type="pct"/>
            <w:tcBorders>
              <w:bottom w:val="single" w:color="auto" w:sz="4" w:space="0"/>
            </w:tcBorders>
          </w:tcPr>
          <w:p>
            <w:pPr>
              <w:widowControl/>
              <w:spacing w:line="240" w:lineRule="exact"/>
              <w:rPr>
                <w:rFonts w:hint="eastAsia"/>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rFonts w:hint="default" w:eastAsia="宋体"/>
                <w:b/>
                <w:color w:val="FF0000"/>
                <w:sz w:val="21"/>
                <w:szCs w:val="21"/>
                <w:lang w:val="en-US" w:eastAsia="zh-CN"/>
              </w:rPr>
            </w:pPr>
            <w:r>
              <w:rPr>
                <w:rFonts w:hint="eastAsia"/>
                <w:b/>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362" w:type="pct"/>
            <w:vMerge w:val="restart"/>
            <w:vAlign w:val="center"/>
          </w:tcPr>
          <w:p>
            <w:pPr>
              <w:spacing w:line="240" w:lineRule="exact"/>
              <w:ind w:left="113"/>
              <w:jc w:val="center"/>
              <w:rPr>
                <w:b/>
                <w:color w:val="000000" w:themeColor="text1"/>
                <w:sz w:val="21"/>
                <w:szCs w:val="21"/>
              </w:rPr>
            </w:pPr>
            <w:r>
              <w:rPr>
                <w:rFonts w:hint="eastAsia"/>
                <w:b/>
                <w:color w:val="000000" w:themeColor="text1"/>
                <w:sz w:val="21"/>
                <w:szCs w:val="21"/>
              </w:rPr>
              <w:t>(五)持续改进</w:t>
            </w:r>
          </w:p>
        </w:tc>
        <w:tc>
          <w:tcPr>
            <w:tcW w:w="4637" w:type="pct"/>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362" w:type="pct"/>
            <w:vMerge w:val="continue"/>
            <w:vAlign w:val="center"/>
          </w:tcPr>
          <w:p>
            <w:pPr>
              <w:spacing w:line="240" w:lineRule="exact"/>
              <w:jc w:val="center"/>
              <w:rPr>
                <w:b/>
                <w:color w:val="000000" w:themeColor="text1"/>
                <w:sz w:val="21"/>
                <w:szCs w:val="21"/>
              </w:rPr>
            </w:pPr>
          </w:p>
        </w:tc>
        <w:tc>
          <w:tcPr>
            <w:tcW w:w="4637" w:type="pct"/>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240" w:lineRule="exact"/>
              <w:rPr>
                <w:b/>
                <w:color w:val="000000" w:themeColor="text1"/>
                <w:sz w:val="21"/>
                <w:szCs w:val="21"/>
              </w:rPr>
            </w:pPr>
            <w:r>
              <w:rPr>
                <w:rFonts w:hint="eastAsia"/>
                <w:b/>
                <w:color w:val="000000" w:themeColor="text1"/>
                <w:spacing w:val="-2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362" w:type="pct"/>
            <w:vMerge w:val="continue"/>
            <w:vAlign w:val="center"/>
          </w:tcPr>
          <w:p>
            <w:pPr>
              <w:spacing w:line="240" w:lineRule="exact"/>
              <w:jc w:val="center"/>
              <w:rPr>
                <w:b/>
                <w:color w:val="000000" w:themeColor="text1"/>
                <w:sz w:val="21"/>
                <w:szCs w:val="21"/>
              </w:rPr>
            </w:pPr>
          </w:p>
        </w:tc>
        <w:tc>
          <w:tcPr>
            <w:tcW w:w="4637" w:type="pct"/>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1"/>
                <w:szCs w:val="21"/>
                <w:highlight w:val="none"/>
              </w:rPr>
            </w:pPr>
            <w:r>
              <w:rPr>
                <w:rFonts w:hint="eastAsia"/>
                <w:b/>
                <w:color w:val="000000" w:themeColor="text1"/>
                <w:sz w:val="21"/>
                <w:szCs w:val="21"/>
                <w:highlight w:val="none"/>
                <w:lang w:val="en-US" w:eastAsia="zh-CN"/>
              </w:rPr>
              <w:t>3</w:t>
            </w:r>
            <w:r>
              <w:rPr>
                <w:rFonts w:hint="eastAsia"/>
                <w:b/>
                <w:color w:val="000000" w:themeColor="text1"/>
                <w:sz w:val="21"/>
                <w:szCs w:val="21"/>
                <w:highlight w:val="none"/>
              </w:rPr>
              <w:t>.创新情况</w:t>
            </w:r>
          </w:p>
          <w:p>
            <w:pPr>
              <w:spacing w:line="240" w:lineRule="exact"/>
              <w:rPr>
                <w:b/>
                <w:color w:val="000000" w:themeColor="text1"/>
                <w:sz w:val="21"/>
                <w:szCs w:val="21"/>
                <w:highlight w:val="none"/>
              </w:rPr>
            </w:pPr>
            <w:r>
              <w:rPr>
                <w:rFonts w:hint="eastAsia"/>
                <w:b/>
                <w:color w:val="000000" w:themeColor="text1"/>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62" w:type="pct"/>
            <w:vMerge w:val="continue"/>
            <w:vAlign w:val="center"/>
          </w:tcPr>
          <w:p>
            <w:pPr>
              <w:spacing w:line="240" w:lineRule="exact"/>
              <w:jc w:val="center"/>
              <w:rPr>
                <w:b/>
                <w:color w:val="000000" w:themeColor="text1"/>
                <w:sz w:val="21"/>
                <w:szCs w:val="21"/>
              </w:rPr>
            </w:pPr>
          </w:p>
        </w:tc>
        <w:tc>
          <w:tcPr>
            <w:tcW w:w="4637" w:type="pct"/>
            <w:tcBorders>
              <w:top w:val="single" w:color="auto" w:sz="4" w:space="0"/>
              <w:left w:val="single" w:color="auto" w:sz="4" w:space="0"/>
              <w:bottom w:val="single" w:color="auto" w:sz="4" w:space="0"/>
              <w:right w:val="single" w:color="auto" w:sz="4" w:space="0"/>
            </w:tcBorders>
          </w:tcPr>
          <w:p>
            <w:pPr>
              <w:numPr>
                <w:ilvl w:val="0"/>
                <w:numId w:val="0"/>
              </w:numPr>
              <w:spacing w:line="240" w:lineRule="exact"/>
              <w:ind w:leftChars="0"/>
              <w:rPr>
                <w:rFonts w:hint="eastAsia"/>
                <w:b/>
                <w:color w:val="000000" w:themeColor="text1"/>
                <w:sz w:val="21"/>
                <w:szCs w:val="21"/>
                <w:highlight w:val="none"/>
                <w:lang w:eastAsia="zh-CN"/>
              </w:rPr>
            </w:pPr>
            <w:r>
              <w:rPr>
                <w:rFonts w:hint="eastAsia"/>
                <w:b/>
                <w:color w:val="000000" w:themeColor="text1"/>
                <w:sz w:val="21"/>
                <w:szCs w:val="21"/>
                <w:highlight w:val="none"/>
                <w:lang w:val="en-US" w:eastAsia="zh-CN"/>
              </w:rPr>
              <w:t>4.</w:t>
            </w:r>
            <w:bookmarkStart w:id="29" w:name="_GoBack"/>
            <w:bookmarkEnd w:id="29"/>
            <w:r>
              <w:rPr>
                <w:rFonts w:hint="eastAsia"/>
                <w:b/>
                <w:color w:val="000000" w:themeColor="text1"/>
                <w:sz w:val="21"/>
                <w:szCs w:val="21"/>
                <w:highlight w:val="none"/>
              </w:rPr>
              <w:t>上次不符合的整改情况（再认证填写）</w:t>
            </w:r>
            <w:r>
              <w:rPr>
                <w:rFonts w:hint="eastAsia"/>
                <w:b/>
                <w:color w:val="000000" w:themeColor="text1"/>
                <w:sz w:val="21"/>
                <w:szCs w:val="21"/>
                <w:highlight w:val="none"/>
                <w:lang w:eastAsia="zh-CN"/>
              </w:rPr>
              <w:t>：</w:t>
            </w:r>
          </w:p>
          <w:p>
            <w:pPr>
              <w:numPr>
                <w:ilvl w:val="0"/>
                <w:numId w:val="0"/>
              </w:numPr>
              <w:spacing w:line="240" w:lineRule="exact"/>
              <w:ind w:leftChars="0"/>
              <w:rPr>
                <w:rFonts w:hint="default" w:eastAsia="宋体"/>
                <w:b/>
                <w:color w:val="000000" w:themeColor="text1"/>
                <w:sz w:val="21"/>
                <w:szCs w:val="21"/>
                <w:highlight w:val="none"/>
                <w:lang w:val="en-US" w:eastAsia="zh-CN"/>
              </w:rPr>
            </w:pPr>
            <w:r>
              <w:rPr>
                <w:rFonts w:hint="eastAsia"/>
                <w:b/>
                <w:color w:val="000000" w:themeColor="text1"/>
                <w:sz w:val="21"/>
                <w:szCs w:val="21"/>
                <w:highlight w:val="none"/>
                <w:lang w:val="en-US" w:eastAsia="zh-CN"/>
              </w:rPr>
              <w:t>上次不符合项8.4.1，本次验证已整改，不存在不符合现象。</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1729105</wp:posOffset>
            </wp:positionH>
            <wp:positionV relativeFrom="paragraph">
              <wp:posOffset>308610</wp:posOffset>
            </wp:positionV>
            <wp:extent cx="425450" cy="300990"/>
            <wp:effectExtent l="0" t="0" r="12700" b="381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425450" cy="30099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2021年05月21日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689" w:firstLineChars="343"/>
        <w:rPr>
          <w:b/>
          <w:sz w:val="21"/>
          <w:szCs w:val="21"/>
          <w:u w:val="single"/>
        </w:rPr>
      </w:pP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1174115</wp:posOffset>
            </wp:positionH>
            <wp:positionV relativeFrom="paragraph">
              <wp:posOffset>12700</wp:posOffset>
            </wp:positionV>
            <wp:extent cx="336550" cy="238125"/>
            <wp:effectExtent l="0" t="0" r="6350" b="889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6"/>
                    <a:stretch>
                      <a:fillRect/>
                    </a:stretch>
                  </pic:blipFill>
                  <pic:spPr>
                    <a:xfrm>
                      <a:off x="0" y="0"/>
                      <a:ext cx="336550" cy="238125"/>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hint="eastAsia"/>
          <w:b/>
          <w:sz w:val="26"/>
          <w:szCs w:val="26"/>
        </w:rPr>
      </w:pPr>
    </w:p>
    <w:p>
      <w:pPr>
        <w:snapToGrid w:val="0"/>
        <w:spacing w:before="163" w:beforeLines="50" w:after="163" w:afterLines="50" w:line="360" w:lineRule="exact"/>
        <w:rPr>
          <w:rFonts w:hint="eastAsia"/>
          <w:b/>
          <w:sz w:val="26"/>
          <w:szCs w:val="26"/>
        </w:rPr>
      </w:pP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5F1E0F62"/>
    <w:multiLevelType w:val="singleLevel"/>
    <w:tmpl w:val="5F1E0F62"/>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481CBD"/>
    <w:rsid w:val="18204848"/>
    <w:rsid w:val="186A4D65"/>
    <w:rsid w:val="1A571A02"/>
    <w:rsid w:val="2B412E70"/>
    <w:rsid w:val="309A7C7B"/>
    <w:rsid w:val="312D4EB9"/>
    <w:rsid w:val="318F6BD3"/>
    <w:rsid w:val="3D934130"/>
    <w:rsid w:val="4CDA57EC"/>
    <w:rsid w:val="4DF806C3"/>
    <w:rsid w:val="57970737"/>
    <w:rsid w:val="63B82979"/>
    <w:rsid w:val="64564EAF"/>
    <w:rsid w:val="6FE34C99"/>
    <w:rsid w:val="7D396E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2021-05-21T06:16:14Z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782F6C4288E54E2684151EB145431697</vt:lpwstr>
  </property>
</Properties>
</file>