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bookmarkStart w:id="21" w:name="_GoBack"/>
      <w:bookmarkEnd w:id="21"/>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重庆新阳地理信息有限公司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202"/>
        <w:gridCol w:w="126"/>
        <w:gridCol w:w="1134"/>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4557" w:type="dxa"/>
            <w:gridSpan w:val="4"/>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968" w:type="dxa"/>
            <w:gridSpan w:val="3"/>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5"/>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2202" w:type="dxa"/>
            <w:vAlign w:val="center"/>
          </w:tcPr>
          <w:p>
            <w:pPr>
              <w:spacing w:line="240" w:lineRule="exact"/>
              <w:jc w:val="center"/>
              <w:rPr>
                <w:b/>
                <w:color w:val="000000" w:themeColor="text1"/>
                <w:sz w:val="20"/>
                <w:szCs w:val="20"/>
              </w:rPr>
            </w:pPr>
            <w:r>
              <w:rPr>
                <w:rFonts w:hint="eastAsia"/>
                <w:sz w:val="18"/>
                <w:szCs w:val="18"/>
              </w:rPr>
              <w:t>注册资格</w:t>
            </w:r>
          </w:p>
        </w:tc>
        <w:tc>
          <w:tcPr>
            <w:tcW w:w="3609" w:type="dxa"/>
            <w:gridSpan w:val="4"/>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2202"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3609" w:type="dxa"/>
            <w:gridSpan w:val="4"/>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E:34.01.01,34.01.02,34.06.00</w:t>
            </w:r>
          </w:p>
          <w:p>
            <w:pPr>
              <w:spacing w:line="240" w:lineRule="exact"/>
              <w:jc w:val="center"/>
              <w:rPr>
                <w:b/>
                <w:color w:val="000000" w:themeColor="text1"/>
                <w:sz w:val="20"/>
                <w:szCs w:val="20"/>
              </w:rPr>
            </w:pPr>
            <w:r>
              <w:rPr>
                <w:b/>
                <w:color w:val="000000" w:themeColor="text1"/>
                <w:sz w:val="20"/>
                <w:szCs w:val="20"/>
              </w:rPr>
              <w:t>O:34.01.01,34.01.02,34.06.00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2202" w:type="dxa"/>
            <w:vAlign w:val="center"/>
          </w:tcPr>
          <w:p>
            <w:pPr>
              <w:spacing w:line="240" w:lineRule="exact"/>
              <w:jc w:val="center"/>
              <w:rPr>
                <w:b/>
                <w:color w:val="000000" w:themeColor="text1"/>
                <w:sz w:val="20"/>
                <w:szCs w:val="20"/>
              </w:rPr>
            </w:pPr>
            <w:r>
              <w:rPr>
                <w:b/>
                <w:color w:val="000000" w:themeColor="text1"/>
                <w:sz w:val="20"/>
                <w:szCs w:val="20"/>
              </w:rPr>
              <w:t>Q:审核员</w:t>
            </w:r>
          </w:p>
        </w:tc>
        <w:tc>
          <w:tcPr>
            <w:tcW w:w="3609" w:type="dxa"/>
            <w:gridSpan w:val="4"/>
            <w:vAlign w:val="center"/>
          </w:tcPr>
          <w:p>
            <w:pPr>
              <w:spacing w:line="240" w:lineRule="exact"/>
              <w:jc w:val="center"/>
              <w:rPr>
                <w:b/>
                <w:color w:val="000000" w:themeColor="text1"/>
                <w:sz w:val="20"/>
                <w:szCs w:val="20"/>
              </w:rPr>
            </w:pPr>
            <w:r>
              <w:rPr>
                <w:b/>
                <w:color w:val="000000" w:themeColor="text1"/>
                <w:sz w:val="20"/>
                <w:szCs w:val="20"/>
              </w:rPr>
              <w:t>Q:34.01.02,34.06.00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2202"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3609" w:type="dxa"/>
            <w:gridSpan w:val="4"/>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王勇富</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2202" w:type="dxa"/>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tc>
        <w:tc>
          <w:tcPr>
            <w:tcW w:w="3609" w:type="dxa"/>
            <w:gridSpan w:val="4"/>
            <w:vAlign w:val="center"/>
          </w:tcPr>
          <w:p>
            <w:pPr>
              <w:spacing w:line="240" w:lineRule="exact"/>
              <w:jc w:val="center"/>
              <w:rPr>
                <w:b/>
                <w:color w:val="000000" w:themeColor="text1"/>
                <w:sz w:val="20"/>
                <w:szCs w:val="20"/>
              </w:rPr>
            </w:pPr>
            <w:r>
              <w:rPr>
                <w:b/>
                <w:color w:val="000000" w:themeColor="text1"/>
                <w:sz w:val="20"/>
                <w:szCs w:val="20"/>
              </w:rPr>
              <w:t>Q:34.01.01,34.01.02</w:t>
            </w:r>
          </w:p>
          <w:p>
            <w:pPr>
              <w:spacing w:line="240" w:lineRule="exact"/>
              <w:jc w:val="center"/>
              <w:rPr>
                <w:b/>
                <w:color w:val="000000" w:themeColor="text1"/>
                <w:sz w:val="20"/>
                <w:szCs w:val="20"/>
              </w:rPr>
            </w:pPr>
            <w:r>
              <w:rPr>
                <w:b/>
                <w:color w:val="000000" w:themeColor="text1"/>
                <w:sz w:val="20"/>
                <w:szCs w:val="20"/>
              </w:rPr>
              <w:t>E:34.01.01,34.01.02</w:t>
            </w:r>
          </w:p>
          <w:p>
            <w:pPr>
              <w:spacing w:line="240" w:lineRule="exact"/>
              <w:jc w:val="center"/>
              <w:rPr>
                <w:b/>
                <w:color w:val="000000" w:themeColor="text1"/>
                <w:sz w:val="20"/>
                <w:szCs w:val="20"/>
              </w:rPr>
            </w:pPr>
            <w:r>
              <w:rPr>
                <w:b/>
                <w:color w:val="000000" w:themeColor="text1"/>
                <w:sz w:val="20"/>
                <w:szCs w:val="20"/>
              </w:rPr>
              <w:t>O:34.01.01,34.01.02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2202"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3609" w:type="dxa"/>
            <w:gridSpan w:val="4"/>
            <w:vAlign w:val="center"/>
          </w:tcPr>
          <w:p>
            <w:pPr>
              <w:spacing w:line="240" w:lineRule="exact"/>
              <w:jc w:val="center"/>
              <w:rPr>
                <w:b/>
                <w:color w:val="000000" w:themeColor="text1"/>
                <w:sz w:val="20"/>
                <w:szCs w:val="20"/>
              </w:rPr>
            </w:pPr>
            <w:r>
              <w:rPr>
                <w:b/>
                <w:color w:val="000000" w:themeColor="text1"/>
                <w:sz w:val="20"/>
                <w:szCs w:val="20"/>
              </w:rPr>
              <w:t>Q:34.01.02,34.06.00</w:t>
            </w:r>
          </w:p>
          <w:p>
            <w:pPr>
              <w:spacing w:line="240" w:lineRule="exact"/>
              <w:jc w:val="center"/>
              <w:rPr>
                <w:b/>
                <w:color w:val="000000" w:themeColor="text1"/>
                <w:sz w:val="20"/>
                <w:szCs w:val="20"/>
              </w:rPr>
            </w:pPr>
            <w:r>
              <w:rPr>
                <w:b/>
                <w:color w:val="000000" w:themeColor="text1"/>
                <w:sz w:val="20"/>
                <w:szCs w:val="20"/>
              </w:rPr>
              <w:t>E:34.01.01,34.01.02,34.06.00</w:t>
            </w:r>
          </w:p>
          <w:p>
            <w:pPr>
              <w:spacing w:line="240" w:lineRule="exact"/>
              <w:jc w:val="center"/>
              <w:rPr>
                <w:b/>
                <w:color w:val="000000" w:themeColor="text1"/>
                <w:sz w:val="20"/>
                <w:szCs w:val="20"/>
              </w:rPr>
            </w:pPr>
            <w:r>
              <w:rPr>
                <w:b/>
                <w:color w:val="000000" w:themeColor="text1"/>
                <w:sz w:val="20"/>
                <w:szCs w:val="20"/>
              </w:rPr>
              <w:t>O:34.01.01,34.01.02,34.06.00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2202" w:type="dxa"/>
            <w:vAlign w:val="center"/>
          </w:tcPr>
          <w:p>
            <w:pPr>
              <w:rPr>
                <w:b/>
                <w:color w:val="000000" w:themeColor="text1"/>
                <w:sz w:val="20"/>
                <w:szCs w:val="20"/>
              </w:rPr>
            </w:pPr>
            <w:r>
              <w:rPr>
                <w:rFonts w:hint="eastAsia"/>
                <w:b/>
                <w:color w:val="000000" w:themeColor="text1"/>
                <w:sz w:val="20"/>
                <w:szCs w:val="20"/>
              </w:rPr>
              <w:t>工作单位</w:t>
            </w:r>
          </w:p>
        </w:tc>
        <w:tc>
          <w:tcPr>
            <w:tcW w:w="3609" w:type="dxa"/>
            <w:gridSpan w:val="4"/>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202" w:type="dxa"/>
            <w:vAlign w:val="center"/>
          </w:tcPr>
          <w:p>
            <w:pPr>
              <w:rPr>
                <w:b/>
                <w:color w:val="000000" w:themeColor="text1"/>
              </w:rPr>
            </w:pPr>
          </w:p>
        </w:tc>
        <w:tc>
          <w:tcPr>
            <w:tcW w:w="3609" w:type="dxa"/>
            <w:gridSpan w:val="4"/>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202" w:type="dxa"/>
            <w:vAlign w:val="center"/>
          </w:tcPr>
          <w:p>
            <w:pPr>
              <w:rPr>
                <w:b/>
                <w:color w:val="000000" w:themeColor="text1"/>
              </w:rPr>
            </w:pPr>
          </w:p>
        </w:tc>
        <w:tc>
          <w:tcPr>
            <w:tcW w:w="3609" w:type="dxa"/>
            <w:gridSpan w:val="4"/>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重庆新阳地理信息有限公司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重庆市渝北区龙山街道银桦路125号圣地阳光6幢33-6</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401147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重庆市渝北区龙山大道401号扬子江商务小区1栋33-3</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401147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王荣琼</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15086816890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张家银</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张家银</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蔡伟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b/>
                <w:color w:val="000000" w:themeColor="text1"/>
                <w:sz w:val="20"/>
                <w:szCs w:val="20"/>
                <w:lang w:eastAsia="zh-CN"/>
              </w:rPr>
            </w:pPr>
            <w:bookmarkStart w:id="17" w:name="审核范围"/>
            <w:r>
              <w:rPr>
                <w:rFonts w:ascii="宋体" w:hAnsi="宋体"/>
                <w:b/>
                <w:color w:val="000000" w:themeColor="text1"/>
                <w:sz w:val="20"/>
                <w:szCs w:val="20"/>
              </w:rPr>
              <w:t>Q：</w:t>
            </w:r>
            <w:r>
              <w:rPr>
                <w:rFonts w:hint="eastAsia" w:ascii="宋体" w:hAnsi="宋体"/>
                <w:b/>
                <w:color w:val="000000" w:themeColor="text1"/>
                <w:sz w:val="20"/>
                <w:szCs w:val="20"/>
                <w:lang w:val="en-US" w:eastAsia="zh-CN"/>
              </w:rPr>
              <w:t>资质范围内的</w:t>
            </w:r>
            <w:r>
              <w:rPr>
                <w:rFonts w:hint="eastAsia" w:ascii="宋体" w:hAnsi="宋体"/>
                <w:b/>
                <w:color w:val="000000" w:themeColor="text1"/>
                <w:sz w:val="20"/>
                <w:szCs w:val="20"/>
                <w:lang w:eastAsia="zh-CN"/>
              </w:rPr>
              <w:t>工程测量；土地利用总体规划及专项规划的编制、设计</w:t>
            </w:r>
          </w:p>
          <w:p>
            <w:pPr>
              <w:spacing w:line="32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E：</w:t>
            </w:r>
            <w:r>
              <w:rPr>
                <w:rFonts w:hint="eastAsia" w:ascii="宋体" w:hAnsi="宋体"/>
                <w:b/>
                <w:color w:val="000000" w:themeColor="text1"/>
                <w:sz w:val="20"/>
                <w:szCs w:val="20"/>
                <w:lang w:val="en-US" w:eastAsia="zh-CN"/>
              </w:rPr>
              <w:t>资质范围内的</w:t>
            </w:r>
            <w:r>
              <w:rPr>
                <w:rFonts w:hint="eastAsia" w:ascii="宋体" w:hAnsi="宋体"/>
                <w:b/>
                <w:color w:val="000000" w:themeColor="text1"/>
                <w:sz w:val="20"/>
                <w:szCs w:val="20"/>
                <w:lang w:eastAsia="zh-CN"/>
              </w:rPr>
              <w:t>工程测量；土地利用总体规划及专项规划的编制、设计所涉及场所的相关环境管理活动</w:t>
            </w:r>
          </w:p>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O：</w:t>
            </w:r>
            <w:r>
              <w:rPr>
                <w:rFonts w:hint="eastAsia" w:ascii="宋体" w:hAnsi="宋体"/>
                <w:b/>
                <w:color w:val="000000" w:themeColor="text1"/>
                <w:sz w:val="20"/>
                <w:szCs w:val="20"/>
                <w:lang w:val="en-US" w:eastAsia="zh-CN"/>
              </w:rPr>
              <w:t>资质范围内的</w:t>
            </w:r>
            <w:r>
              <w:rPr>
                <w:rFonts w:hint="eastAsia" w:ascii="宋体" w:hAnsi="宋体"/>
                <w:b/>
                <w:color w:val="000000" w:themeColor="text1"/>
                <w:sz w:val="20"/>
                <w:szCs w:val="20"/>
                <w:lang w:eastAsia="zh-CN"/>
              </w:rPr>
              <w:t>工程测量；土地利用总体规划及专项规划的编制、设计</w:t>
            </w:r>
            <w:r>
              <w:rPr>
                <w:rFonts w:ascii="宋体" w:hAnsi="宋体"/>
                <w:b/>
                <w:color w:val="000000" w:themeColor="text1"/>
                <w:sz w:val="20"/>
                <w:szCs w:val="20"/>
              </w:rPr>
              <w:t>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Q：34.01.01;34.01.02;34.06.00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E：34.01.01;34.01.02;34.06.00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O：34.01.01;34.01.02;34.06.00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hint="eastAsia" w:ascii="宋体" w:hAnsi="宋体"/>
                <w:b/>
                <w:color w:val="000000" w:themeColor="text1"/>
                <w:sz w:val="20"/>
                <w:szCs w:val="20"/>
                <w:highlight w:val="none"/>
              </w:rPr>
              <w:t>20</w:t>
            </w:r>
            <w:r>
              <w:rPr>
                <w:rFonts w:hint="eastAsia" w:ascii="宋体" w:hAnsi="宋体"/>
                <w:b/>
                <w:color w:val="000000" w:themeColor="text1"/>
                <w:sz w:val="20"/>
                <w:szCs w:val="20"/>
                <w:highlight w:val="none"/>
                <w:lang w:val="en-US" w:eastAsia="zh-CN"/>
              </w:rPr>
              <w:t>21</w:t>
            </w:r>
            <w:r>
              <w:rPr>
                <w:rFonts w:hint="eastAsia" w:ascii="宋体" w:hAnsi="宋体"/>
                <w:b/>
                <w:color w:val="000000" w:themeColor="text1"/>
                <w:sz w:val="20"/>
                <w:szCs w:val="20"/>
                <w:highlight w:val="none"/>
              </w:rPr>
              <w:t>年1月1日</w:t>
            </w:r>
            <w:r>
              <w:rPr>
                <w:rFonts w:hint="eastAsia" w:ascii="宋体" w:hAnsi="宋体"/>
                <w:b/>
                <w:color w:val="000000" w:themeColor="text1"/>
                <w:sz w:val="20"/>
                <w:szCs w:val="20"/>
                <w:highlight w:val="none"/>
                <w:lang w:val="en-US" w:eastAsia="zh-CN"/>
              </w:rPr>
              <w:t>0</w:t>
            </w:r>
            <w:r>
              <w:rPr>
                <w:rFonts w:ascii="宋体" w:hAnsi="宋体"/>
                <w:b/>
                <w:color w:val="000000" w:themeColor="text1"/>
                <w:sz w:val="20"/>
                <w:szCs w:val="20"/>
                <w:highlight w:val="none"/>
              </w:rPr>
              <w:t>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工程服务</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不合格品控制；纠正和预防措施控制；策划管理；过程监控管理；服务过程管理；设备设施管理；不合格品控制；监视和测量设备管理；产品验收管理；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业务部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pacing w:val="-2"/>
                <w:sz w:val="20"/>
                <w:szCs w:val="20"/>
                <w:highlight w:val="none"/>
              </w:rPr>
            </w:pPr>
            <w:r>
              <w:rPr>
                <w:rFonts w:hint="eastAsia" w:ascii="宋体" w:hAnsi="宋体"/>
                <w:b/>
                <w:color w:val="auto"/>
                <w:spacing w:val="-2"/>
                <w:sz w:val="20"/>
                <w:szCs w:val="20"/>
                <w:highlight w:val="none"/>
              </w:rPr>
              <w:t>分场所名称</w:t>
            </w:r>
          </w:p>
        </w:tc>
        <w:tc>
          <w:tcPr>
            <w:tcW w:w="3249" w:type="dxa"/>
          </w:tcPr>
          <w:p>
            <w:pPr>
              <w:jc w:val="center"/>
              <w:rPr>
                <w:rFonts w:ascii="宋体" w:hAnsi="宋体"/>
                <w:b/>
                <w:color w:val="auto"/>
                <w:sz w:val="20"/>
                <w:szCs w:val="20"/>
                <w:highlight w:val="none"/>
              </w:rPr>
            </w:pPr>
            <w:r>
              <w:rPr>
                <w:rFonts w:hint="eastAsia" w:ascii="宋体" w:hAnsi="宋体"/>
                <w:b/>
                <w:color w:val="auto"/>
                <w:sz w:val="20"/>
                <w:szCs w:val="20"/>
                <w:highlight w:val="none"/>
              </w:rPr>
              <w:t>职能或过程</w:t>
            </w:r>
            <w:r>
              <w:rPr>
                <w:rFonts w:hint="eastAsia" w:ascii="宋体" w:hAnsi="宋体"/>
                <w:b/>
                <w:color w:val="auto"/>
                <w:spacing w:val="-2"/>
                <w:sz w:val="20"/>
                <w:szCs w:val="20"/>
                <w:highlight w:val="none"/>
              </w:rPr>
              <w:t>:</w:t>
            </w:r>
          </w:p>
        </w:tc>
        <w:tc>
          <w:tcPr>
            <w:tcW w:w="3555" w:type="dxa"/>
          </w:tcPr>
          <w:p>
            <w:pPr>
              <w:jc w:val="center"/>
              <w:rPr>
                <w:rFonts w:ascii="宋体" w:hAnsi="宋体"/>
                <w:b/>
                <w:color w:val="auto"/>
                <w:sz w:val="20"/>
                <w:szCs w:val="20"/>
                <w:highlight w:val="none"/>
              </w:rPr>
            </w:pPr>
            <w:r>
              <w:rPr>
                <w:rFonts w:hint="eastAsia" w:ascii="宋体" w:hAnsi="宋体"/>
                <w:b/>
                <w:color w:val="auto"/>
                <w:sz w:val="20"/>
                <w:szCs w:val="2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61"/>
        <w:gridCol w:w="990"/>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6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90" w:type="dxa"/>
          </w:tcPr>
          <w:p>
            <w:pPr>
              <w:rPr>
                <w:b/>
                <w:color w:val="000000" w:themeColor="text1"/>
                <w:sz w:val="20"/>
                <w:szCs w:val="20"/>
              </w:rPr>
            </w:pPr>
            <w:r>
              <w:rPr>
                <w:rFonts w:hint="eastAsia"/>
                <w:b/>
                <w:color w:val="000000" w:themeColor="text1"/>
                <w:sz w:val="20"/>
                <w:szCs w:val="20"/>
              </w:rPr>
              <w:t>规格</w:t>
            </w:r>
          </w:p>
        </w:tc>
        <w:tc>
          <w:tcPr>
            <w:tcW w:w="575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szCs w:val="21"/>
                <w:lang w:val="en-US" w:eastAsia="zh-CN"/>
              </w:rPr>
              <w:t>资质范围内的工程测量；土地利用总体规划及专项规划的编制、设计</w:t>
            </w:r>
          </w:p>
        </w:tc>
        <w:tc>
          <w:tcPr>
            <w:tcW w:w="1161" w:type="dxa"/>
          </w:tcPr>
          <w:p>
            <w:pPr>
              <w:rPr>
                <w:b/>
                <w:color w:val="000000" w:themeColor="text1"/>
                <w:sz w:val="20"/>
                <w:szCs w:val="20"/>
              </w:rPr>
            </w:pPr>
          </w:p>
        </w:tc>
        <w:tc>
          <w:tcPr>
            <w:tcW w:w="990" w:type="dxa"/>
          </w:tcPr>
          <w:p>
            <w:pPr>
              <w:rPr>
                <w:b/>
                <w:color w:val="000000" w:themeColor="text1"/>
                <w:sz w:val="20"/>
                <w:szCs w:val="20"/>
              </w:rPr>
            </w:pPr>
          </w:p>
        </w:tc>
        <w:tc>
          <w:tcPr>
            <w:tcW w:w="5754" w:type="dxa"/>
          </w:tcPr>
          <w:p>
            <w:pPr>
              <w:spacing w:line="400" w:lineRule="exact"/>
              <w:jc w:val="left"/>
              <w:rPr>
                <w:b/>
                <w:color w:val="000000" w:themeColor="text1"/>
                <w:sz w:val="20"/>
                <w:szCs w:val="20"/>
              </w:rPr>
            </w:pPr>
            <w:r>
              <w:rPr>
                <w:rFonts w:hint="eastAsia" w:ascii="宋体" w:hAnsi="宋体" w:cs="宋体"/>
                <w:color w:val="auto"/>
                <w:szCs w:val="21"/>
                <w:highlight w:val="none"/>
              </w:rPr>
              <w:t>《全球定位系统（GPS）测量规范》GB/T18314—2016</w:t>
            </w:r>
            <w:r>
              <w:rPr>
                <w:rFonts w:hint="eastAsia" w:ascii="宋体" w:hAnsi="宋体" w:cs="宋体"/>
                <w:color w:val="auto"/>
                <w:szCs w:val="21"/>
                <w:highlight w:val="none"/>
                <w:lang w:eastAsia="zh-CN"/>
              </w:rPr>
              <w:t>、</w:t>
            </w:r>
            <w:r>
              <w:rPr>
                <w:rFonts w:hint="eastAsia" w:ascii="宋体" w:hAnsi="宋体" w:cs="宋体"/>
                <w:color w:val="auto"/>
                <w:szCs w:val="21"/>
                <w:highlight w:val="none"/>
              </w:rPr>
              <w:t>《1:500 1:1000 1:2000地形图航空摄影测量外业规范》GB 7931--2015、《1:500 1:1000 1:2000比例尺地形图航空摄影规范》GB 6962--2005、《基础地理信息应急制图规范》CH/T 4018-2013、《城市地理信息系统设计规范》GB/T 18578-2008、《重庆市城乡规划基础空间数据要求》DB50/T 592-2015、《水土保持规划编制规范》SL/T 335-2014、《</w:t>
            </w:r>
            <w:r>
              <w:rPr>
                <w:rFonts w:hint="eastAsia" w:ascii="宋体" w:hAnsi="宋体" w:cs="宋体"/>
                <w:color w:val="auto"/>
                <w:szCs w:val="21"/>
                <w:highlight w:val="none"/>
                <w:lang w:eastAsia="zh-CN"/>
              </w:rPr>
              <w:t>测量</w:t>
            </w:r>
            <w:r>
              <w:rPr>
                <w:rFonts w:hint="eastAsia" w:ascii="宋体" w:hAnsi="宋体" w:cs="宋体"/>
                <w:color w:val="auto"/>
                <w:szCs w:val="21"/>
                <w:highlight w:val="none"/>
              </w:rPr>
              <w:t>技术设计规定》CH/T1004—2005; 《</w:t>
            </w:r>
            <w:r>
              <w:rPr>
                <w:rFonts w:hint="eastAsia" w:ascii="宋体" w:hAnsi="宋体" w:cs="宋体"/>
                <w:color w:val="auto"/>
                <w:szCs w:val="21"/>
                <w:highlight w:val="none"/>
                <w:lang w:eastAsia="zh-CN"/>
              </w:rPr>
              <w:t>测量</w:t>
            </w:r>
            <w:r>
              <w:rPr>
                <w:rFonts w:hint="eastAsia" w:ascii="宋体" w:hAnsi="宋体" w:cs="宋体"/>
                <w:color w:val="auto"/>
                <w:szCs w:val="21"/>
                <w:highlight w:val="none"/>
              </w:rPr>
              <w:t>产品检查验收规定》GH1002-1995、《</w:t>
            </w:r>
            <w:r>
              <w:rPr>
                <w:rFonts w:hint="eastAsia" w:ascii="宋体" w:hAnsi="宋体" w:cs="宋体"/>
                <w:color w:val="auto"/>
                <w:szCs w:val="21"/>
                <w:highlight w:val="none"/>
                <w:lang w:eastAsia="zh-CN"/>
              </w:rPr>
              <w:t>测量</w:t>
            </w:r>
            <w:r>
              <w:rPr>
                <w:rFonts w:hint="eastAsia" w:ascii="宋体" w:hAnsi="宋体" w:cs="宋体"/>
                <w:color w:val="auto"/>
                <w:szCs w:val="21"/>
                <w:highlight w:val="none"/>
              </w:rPr>
              <w:t>产品质量品评定标准》GH1003-1995、《光电测距仪检定规范》CH 8001-1991、《基础地理信息数字产品数据文件命名规则》CH/T 1005-2000、《</w:t>
            </w:r>
            <w:r>
              <w:rPr>
                <w:rFonts w:hint="eastAsia" w:ascii="宋体" w:hAnsi="宋体" w:cs="宋体"/>
                <w:color w:val="auto"/>
                <w:szCs w:val="21"/>
                <w:highlight w:val="none"/>
                <w:lang w:eastAsia="zh-CN"/>
              </w:rPr>
              <w:t>测量</w:t>
            </w:r>
            <w:r>
              <w:rPr>
                <w:rFonts w:hint="eastAsia" w:ascii="宋体" w:hAnsi="宋体" w:cs="宋体"/>
                <w:color w:val="auto"/>
                <w:szCs w:val="21"/>
                <w:highlight w:val="none"/>
              </w:rPr>
              <w:t>技术总结编写规定》CH/T 1001-2005、《</w:t>
            </w:r>
            <w:r>
              <w:rPr>
                <w:rFonts w:hint="eastAsia" w:ascii="宋体" w:hAnsi="宋体" w:cs="宋体"/>
                <w:color w:val="auto"/>
                <w:szCs w:val="21"/>
                <w:highlight w:val="none"/>
                <w:lang w:eastAsia="zh-CN"/>
              </w:rPr>
              <w:t>测量</w:t>
            </w:r>
            <w:r>
              <w:rPr>
                <w:rFonts w:hint="eastAsia" w:ascii="宋体" w:hAnsi="宋体" w:cs="宋体"/>
                <w:color w:val="auto"/>
                <w:szCs w:val="21"/>
                <w:highlight w:val="none"/>
              </w:rPr>
              <w:t>成果质量检验报告编写基本规定》CH/Z 1001-2007</w:t>
            </w:r>
            <w:r>
              <w:rPr>
                <w:rFonts w:hint="eastAsia" w:ascii="宋体" w:hAnsi="宋体" w:cs="宋体"/>
                <w:color w:val="auto"/>
                <w:szCs w:val="21"/>
                <w:highlight w:val="none"/>
                <w:lang w:val="en-US" w:eastAsia="zh-CN"/>
              </w:rPr>
              <w:t>及客户技术要求等</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61" w:type="dxa"/>
          </w:tcPr>
          <w:p>
            <w:pPr>
              <w:rPr>
                <w:b/>
                <w:color w:val="000000" w:themeColor="text1"/>
                <w:sz w:val="20"/>
                <w:szCs w:val="20"/>
              </w:rPr>
            </w:pPr>
          </w:p>
        </w:tc>
        <w:tc>
          <w:tcPr>
            <w:tcW w:w="990" w:type="dxa"/>
          </w:tcPr>
          <w:p>
            <w:pPr>
              <w:rPr>
                <w:b/>
                <w:color w:val="000000" w:themeColor="text1"/>
                <w:sz w:val="20"/>
                <w:szCs w:val="20"/>
              </w:rPr>
            </w:pPr>
          </w:p>
        </w:tc>
        <w:tc>
          <w:tcPr>
            <w:tcW w:w="5754"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61" w:type="dxa"/>
          </w:tcPr>
          <w:p>
            <w:pPr>
              <w:rPr>
                <w:b/>
                <w:color w:val="000000" w:themeColor="text1"/>
                <w:sz w:val="20"/>
                <w:szCs w:val="20"/>
              </w:rPr>
            </w:pPr>
          </w:p>
        </w:tc>
        <w:tc>
          <w:tcPr>
            <w:tcW w:w="990" w:type="dxa"/>
          </w:tcPr>
          <w:p>
            <w:pPr>
              <w:rPr>
                <w:b/>
                <w:color w:val="000000" w:themeColor="text1"/>
                <w:sz w:val="20"/>
                <w:szCs w:val="20"/>
              </w:rPr>
            </w:pPr>
          </w:p>
        </w:tc>
        <w:tc>
          <w:tcPr>
            <w:tcW w:w="5754"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2021年1月1</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r>
              <w:rPr>
                <w:rFonts w:hint="eastAsia" w:asciiTheme="minorEastAsia" w:hAnsiTheme="minorEastAsia" w:eastAsiaTheme="minorEastAsia" w:cstheme="minorEastAsia"/>
                <w:szCs w:val="21"/>
                <w:lang w:val="en-US" w:eastAsia="zh-CN"/>
              </w:rPr>
              <w:t>专业为先，质量为本；守法诚信，服务至上。</w:t>
            </w:r>
            <w:r>
              <w:rPr>
                <w:rFonts w:hint="eastAsia" w:asciiTheme="minorEastAsia" w:hAnsiTheme="minorEastAsia" w:eastAsiaTheme="minorEastAsia" w:cstheme="minorEastAsia"/>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rPr>
              <w:t>质量管理体系过程</w:t>
            </w:r>
            <w:r>
              <w:rPr>
                <w:rFonts w:hint="eastAsia" w:ascii="宋体" w:hAnsi="宋体"/>
                <w:b/>
                <w:color w:val="000000" w:themeColor="text1"/>
                <w:sz w:val="20"/>
                <w:szCs w:val="20"/>
                <w:highlight w:val="none"/>
              </w:rPr>
              <w:t>有：合同评审、</w:t>
            </w:r>
            <w:r>
              <w:rPr>
                <w:rFonts w:hint="eastAsia" w:ascii="宋体" w:hAnsi="宋体"/>
                <w:b/>
                <w:color w:val="000000" w:themeColor="text1"/>
                <w:sz w:val="20"/>
                <w:szCs w:val="20"/>
                <w:highlight w:val="none"/>
                <w:lang w:eastAsia="zh-CN"/>
              </w:rPr>
              <w:t>测量</w:t>
            </w:r>
            <w:r>
              <w:rPr>
                <w:rFonts w:hint="eastAsia" w:ascii="宋体" w:hAnsi="宋体"/>
                <w:b/>
                <w:color w:val="000000" w:themeColor="text1"/>
                <w:sz w:val="20"/>
                <w:szCs w:val="20"/>
                <w:highlight w:val="none"/>
              </w:rPr>
              <w:t>、编制、交付过程等。</w:t>
            </w:r>
          </w:p>
          <w:p>
            <w:pPr>
              <w:tabs>
                <w:tab w:val="left" w:pos="540"/>
              </w:tabs>
              <w:spacing w:line="300" w:lineRule="exact"/>
              <w:ind w:left="201" w:hanging="201" w:hangingChars="100"/>
              <w:rPr>
                <w:rFonts w:ascii="宋体" w:hAnsi="宋体"/>
                <w:b/>
                <w:color w:val="000000" w:themeColor="text1"/>
                <w:sz w:val="20"/>
                <w:szCs w:val="20"/>
                <w:highlight w:val="none"/>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eastAsia="zh-CN"/>
              </w:rPr>
              <w:t>测量</w:t>
            </w:r>
            <w:r>
              <w:rPr>
                <w:rFonts w:hint="eastAsia" w:ascii="宋体" w:hAnsi="宋体"/>
                <w:b/>
                <w:color w:val="000000" w:themeColor="text1"/>
                <w:sz w:val="20"/>
                <w:szCs w:val="20"/>
                <w:highlight w:val="none"/>
              </w:rPr>
              <w:t>、</w:t>
            </w:r>
            <w:r>
              <w:rPr>
                <w:rFonts w:hint="eastAsia" w:ascii="宋体" w:hAnsi="宋体"/>
                <w:b/>
                <w:color w:val="000000" w:themeColor="text1"/>
                <w:sz w:val="20"/>
                <w:szCs w:val="20"/>
                <w:highlight w:val="none"/>
                <w:lang w:val="en-US" w:eastAsia="zh-CN"/>
              </w:rPr>
              <w:t>方案</w:t>
            </w:r>
            <w:r>
              <w:rPr>
                <w:rFonts w:hint="eastAsia" w:ascii="宋体" w:hAnsi="宋体"/>
                <w:b/>
                <w:color w:val="000000" w:themeColor="text1"/>
                <w:sz w:val="20"/>
                <w:szCs w:val="20"/>
                <w:highlight w:val="none"/>
              </w:rPr>
              <w:t>编制</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 xml:space="preserve">需要确认过程： </w:t>
            </w:r>
            <w:r>
              <w:rPr>
                <w:rFonts w:hint="eastAsia" w:ascii="宋体" w:hAnsi="宋体"/>
                <w:b/>
                <w:color w:val="000000" w:themeColor="text1"/>
                <w:sz w:val="20"/>
                <w:szCs w:val="20"/>
                <w:highlight w:val="none"/>
                <w:lang w:val="en-US" w:eastAsia="zh-CN"/>
              </w:rPr>
              <w:t>测量过程</w:t>
            </w:r>
          </w:p>
          <w:p>
            <w:pPr>
              <w:tabs>
                <w:tab w:val="left" w:pos="1080"/>
              </w:tabs>
              <w:spacing w:line="400" w:lineRule="exact"/>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w:t>
            </w:r>
            <w:r>
              <w:rPr>
                <w:rFonts w:hint="eastAsia" w:asciiTheme="minorEastAsia" w:hAnsiTheme="minorEastAsia" w:eastAsiaTheme="minorEastAsia"/>
                <w:bCs/>
                <w:iCs/>
                <w:highlight w:val="none"/>
              </w:rPr>
              <w:t>，识别了整个过程的环境影响。具体控制措施，包括：固废排放的控制、潜在火灾的应急预案等。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numPr>
                <w:ilvl w:val="0"/>
                <w:numId w:val="2"/>
              </w:numPr>
              <w:tabs>
                <w:tab w:val="left" w:pos="1080"/>
              </w:tabs>
              <w:spacing w:line="400" w:lineRule="exact"/>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olor w:val="000000" w:themeColor="text1"/>
                <w:lang w:val="en-US" w:eastAsia="zh-CN"/>
              </w:rPr>
              <w:t>1、</w:t>
            </w:r>
            <w:r>
              <w:rPr>
                <w:rFonts w:hint="eastAsia"/>
                <w:szCs w:val="21"/>
                <w:highlight w:val="none"/>
              </w:rPr>
              <w:t>火灾伤害；2、摔伤、碰伤等意外伤害；3、用电、交通重大伤亡事故。</w:t>
            </w:r>
            <w:r>
              <w:rPr>
                <w:rFonts w:hint="eastAsia"/>
                <w:szCs w:val="21"/>
              </w:rPr>
              <w:t>与之相关的过程有合同评审、方案设计、方案实施、</w:t>
            </w:r>
            <w:r>
              <w:rPr>
                <w:rFonts w:hint="eastAsia" w:ascii="宋体" w:hAnsi="宋体"/>
                <w:color w:val="000000" w:themeColor="text1"/>
              </w:rPr>
              <w:t>交付过程</w:t>
            </w:r>
            <w:r>
              <w:rPr>
                <w:rFonts w:hint="eastAsia" w:ascii="宋体" w:hAnsi="宋体"/>
                <w:color w:val="000000" w:themeColor="text1"/>
                <w:lang w:val="en-US" w:eastAsia="zh-CN"/>
              </w:rPr>
              <w:t>等，并制定有控制措施</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rPr>
              <w:t>管理目标、指标的实现情况：（考</w:t>
            </w:r>
            <w:r>
              <w:rPr>
                <w:rFonts w:hint="eastAsia" w:ascii="宋体" w:hAnsi="宋体" w:cs="宋体"/>
                <w:color w:val="000000"/>
                <w:kern w:val="0"/>
                <w:szCs w:val="21"/>
                <w:highlight w:val="none"/>
              </w:rPr>
              <w:t>核时间：20</w:t>
            </w:r>
            <w:r>
              <w:rPr>
                <w:rFonts w:hint="eastAsia" w:ascii="宋体" w:hAnsi="宋体" w:cs="宋体"/>
                <w:color w:val="000000"/>
                <w:kern w:val="0"/>
                <w:szCs w:val="21"/>
                <w:highlight w:val="none"/>
                <w:lang w:val="en-US" w:eastAsia="zh-CN"/>
              </w:rPr>
              <w:t>21</w:t>
            </w:r>
            <w:r>
              <w:rPr>
                <w:rFonts w:hint="eastAsia" w:ascii="宋体" w:hAnsi="宋体" w:cs="宋体"/>
                <w:color w:val="000000"/>
                <w:kern w:val="0"/>
                <w:szCs w:val="21"/>
                <w:highlight w:val="none"/>
              </w:rPr>
              <w:t>年1月-202</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月）</w:t>
            </w:r>
          </w:p>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质量目标：</w:t>
            </w:r>
          </w:p>
          <w:p>
            <w:pPr>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顾客投诉≤3次/年；</w:t>
            </w:r>
            <w:r>
              <w:rPr>
                <w:rFonts w:hint="eastAsia" w:asciiTheme="minorEastAsia" w:hAnsiTheme="minorEastAsia" w:eastAsiaTheme="minorEastAsia" w:cstheme="minorEastAsia"/>
                <w:szCs w:val="21"/>
                <w:highlight w:val="none"/>
                <w:lang w:val="en-US" w:eastAsia="zh-CN"/>
              </w:rPr>
              <w:t xml:space="preserve">                            实测：0</w:t>
            </w:r>
          </w:p>
          <w:p>
            <w:pPr>
              <w:tabs>
                <w:tab w:val="left" w:pos="546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服务合格率100﹪。</w:t>
            </w:r>
            <w:r>
              <w:rPr>
                <w:rFonts w:hint="eastAsia" w:asciiTheme="minorEastAsia" w:hAnsiTheme="minorEastAsia" w:eastAsiaTheme="minorEastAsia" w:cstheme="minorEastAsia"/>
                <w:szCs w:val="21"/>
                <w:highlight w:val="none"/>
                <w:lang w:eastAsia="zh-CN"/>
              </w:rPr>
              <w:tab/>
            </w:r>
            <w:r>
              <w:rPr>
                <w:rFonts w:hint="eastAsia" w:asciiTheme="minorEastAsia" w:hAnsiTheme="minorEastAsia" w:eastAsiaTheme="minorEastAsia" w:cstheme="minorEastAsia"/>
                <w:szCs w:val="21"/>
                <w:highlight w:val="none"/>
                <w:lang w:val="en-US" w:eastAsia="zh-CN"/>
              </w:rPr>
              <w:t>实测：100%</w:t>
            </w:r>
          </w:p>
          <w:p>
            <w:pPr>
              <w:tabs>
                <w:tab w:val="left" w:pos="548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满意率调查得分9</w:t>
            </w:r>
            <w:r>
              <w:rPr>
                <w:rFonts w:hint="eastAsia" w:asciiTheme="minorEastAsia" w:hAnsiTheme="minorEastAsia" w:eastAsiaTheme="minorEastAsia" w:cstheme="minorEastAsia"/>
                <w:szCs w:val="21"/>
                <w:highlight w:val="none"/>
                <w:lang w:val="en-US" w:eastAsia="zh-CN"/>
              </w:rPr>
              <w:t>0</w:t>
            </w:r>
            <w:r>
              <w:rPr>
                <w:rFonts w:hint="eastAsia" w:asciiTheme="minorEastAsia" w:hAnsiTheme="minorEastAsia" w:eastAsiaTheme="minorEastAsia" w:cstheme="minorEastAsia"/>
                <w:szCs w:val="21"/>
                <w:highlight w:val="none"/>
              </w:rPr>
              <w:t>分以上</w:t>
            </w:r>
            <w:r>
              <w:rPr>
                <w:rFonts w:hint="eastAsia" w:asciiTheme="minorEastAsia" w:hAnsiTheme="minorEastAsia" w:eastAsiaTheme="minorEastAsia" w:cstheme="minorEastAsia"/>
                <w:szCs w:val="21"/>
                <w:highlight w:val="none"/>
                <w:lang w:eastAsia="zh-CN"/>
              </w:rPr>
              <w:tab/>
            </w:r>
            <w:r>
              <w:rPr>
                <w:rFonts w:hint="eastAsia" w:asciiTheme="minorEastAsia" w:hAnsiTheme="minorEastAsia" w:eastAsiaTheme="minorEastAsia" w:cstheme="minorEastAsia"/>
                <w:szCs w:val="21"/>
                <w:highlight w:val="none"/>
                <w:lang w:val="en-US" w:eastAsia="zh-CN"/>
              </w:rPr>
              <w:t>实测：91%</w: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环境/职业健康安全目标指标</w:t>
            </w:r>
            <w:r>
              <w:rPr>
                <w:rFonts w:hint="eastAsia" w:asciiTheme="minorEastAsia" w:hAnsiTheme="minorEastAsia" w:eastAsiaTheme="minorEastAsia" w:cstheme="minorEastAsia"/>
                <w:szCs w:val="21"/>
                <w:highlight w:val="none"/>
                <w:lang w:val="en-US" w:eastAsia="zh-CN"/>
              </w:rPr>
              <w:t>:</w:t>
            </w:r>
          </w:p>
          <w:p>
            <w:pPr>
              <w:tabs>
                <w:tab w:val="left" w:pos="569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废弃物的回收率达到100%；</w:t>
            </w:r>
            <w:r>
              <w:rPr>
                <w:rFonts w:hint="eastAsia" w:asciiTheme="minorEastAsia" w:hAnsiTheme="minorEastAsia" w:eastAsiaTheme="minorEastAsia" w:cstheme="minorEastAsia"/>
                <w:szCs w:val="21"/>
                <w:highlight w:val="none"/>
                <w:lang w:val="en-US" w:eastAsia="zh-CN"/>
              </w:rPr>
              <w:t xml:space="preserve">                      实测：100%</w:t>
            </w:r>
          </w:p>
          <w:p>
            <w:pPr>
              <w:tabs>
                <w:tab w:val="left" w:pos="584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杜绝安全服务事故发生；</w:t>
            </w:r>
            <w:r>
              <w:rPr>
                <w:rFonts w:hint="eastAsia" w:asciiTheme="minorEastAsia" w:hAnsiTheme="minorEastAsia" w:eastAsiaTheme="minorEastAsia" w:cstheme="minorEastAsia"/>
                <w:szCs w:val="21"/>
                <w:highlight w:val="none"/>
                <w:lang w:val="en-US" w:eastAsia="zh-CN"/>
              </w:rPr>
              <w:t xml:space="preserve">                        实测：0</w:t>
            </w:r>
          </w:p>
          <w:p>
            <w:pPr>
              <w:tabs>
                <w:tab w:val="left" w:pos="580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杜绝火灾事故</w:t>
            </w:r>
            <w:r>
              <w:rPr>
                <w:rFonts w:hint="eastAsia" w:asciiTheme="minorEastAsia" w:hAnsiTheme="minorEastAsia" w:eastAsiaTheme="minorEastAsia" w:cstheme="minorEastAsia"/>
                <w:szCs w:val="21"/>
                <w:highlight w:val="none"/>
                <w:lang w:val="en-US" w:eastAsia="zh-CN"/>
              </w:rPr>
              <w:t xml:space="preserve">                                   实测：0</w:t>
            </w:r>
          </w:p>
          <w:p>
            <w:pPr>
              <w:tabs>
                <w:tab w:val="left" w:pos="5986"/>
              </w:tabs>
              <w:ind w:firstLine="630" w:firstLineChars="3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重大人身事故为0。</w:t>
            </w:r>
            <w:r>
              <w:rPr>
                <w:rFonts w:hint="eastAsia" w:asciiTheme="minorEastAsia" w:hAnsiTheme="minorEastAsia" w:eastAsiaTheme="minorEastAsia" w:cstheme="minorEastAsia"/>
                <w:szCs w:val="21"/>
                <w:highlight w:val="none"/>
                <w:lang w:val="en-US" w:eastAsia="zh-CN"/>
              </w:rPr>
              <w:t xml:space="preserve">                             实测：0</w:t>
            </w:r>
          </w:p>
          <w:p>
            <w:p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Arial"/>
                <w:color w:val="000000" w:themeColor="text1"/>
              </w:rPr>
              <w:t xml:space="preserve"> </w:t>
            </w:r>
            <w:r>
              <w:rPr>
                <w:rFonts w:hint="eastAsia" w:ascii="宋体" w:hAnsi="宋体" w:cs="宋体"/>
                <w:color w:val="000000" w:themeColor="text1"/>
              </w:rPr>
              <w:t>年1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工程测量；土地利用总体规划及专项规划的编制、设计</w:t>
            </w:r>
            <w:r>
              <w:rPr>
                <w:rFonts w:hint="eastAsia" w:ascii="宋体" w:hAnsi="宋体"/>
                <w:szCs w:val="21"/>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rPr>
                <w:rFonts w:ascii="宋体" w:hAnsi="宋体"/>
                <w:b/>
                <w:color w:val="000000" w:themeColor="text1"/>
                <w:sz w:val="20"/>
                <w:szCs w:val="20"/>
                <w:highlight w:val="none"/>
              </w:rPr>
            </w:pPr>
            <w:r>
              <w:rPr>
                <w:rFonts w:hint="eastAsia" w:ascii="宋体" w:hAnsi="宋体"/>
                <w:szCs w:val="21"/>
                <w:highlight w:val="none"/>
              </w:rPr>
              <w:t>公司拥有办公面积</w:t>
            </w:r>
            <w:r>
              <w:rPr>
                <w:rFonts w:hint="eastAsia" w:ascii="宋体" w:hAnsi="宋体"/>
                <w:szCs w:val="21"/>
                <w:highlight w:val="none"/>
                <w:lang w:val="en-US" w:eastAsia="zh-CN"/>
              </w:rPr>
              <w:t>130</w:t>
            </w:r>
            <w:r>
              <w:rPr>
                <w:rFonts w:hint="eastAsia" w:ascii="宋体" w:hAnsi="宋体"/>
                <w:szCs w:val="21"/>
                <w:highlight w:val="none"/>
              </w:rPr>
              <w:t>平方米</w:t>
            </w:r>
            <w:r>
              <w:rPr>
                <w:rFonts w:hint="eastAsia" w:ascii="宋体" w:hAnsi="宋体" w:cs="宋体"/>
                <w:szCs w:val="21"/>
                <w:highlight w:val="none"/>
              </w:rPr>
              <w:t>，主要设备为</w:t>
            </w:r>
            <w:r>
              <w:rPr>
                <w:rFonts w:hint="eastAsia" w:ascii="宋体" w:hAnsi="宋体" w:eastAsia="宋体" w:cs="Times New Roman"/>
                <w:szCs w:val="21"/>
                <w:highlight w:val="none"/>
              </w:rPr>
              <w:t>GNSS接收机、</w:t>
            </w:r>
            <w:r>
              <w:rPr>
                <w:rFonts w:hint="eastAsia" w:ascii="宋体" w:hAnsi="宋体" w:cs="Times New Roman"/>
                <w:szCs w:val="21"/>
                <w:highlight w:val="none"/>
                <w:lang w:val="en-US" w:eastAsia="zh-CN"/>
              </w:rPr>
              <w:t>水准仪、全站仪、</w:t>
            </w:r>
            <w:r>
              <w:rPr>
                <w:rFonts w:hint="eastAsia" w:ascii="宋体" w:hAnsi="宋体" w:eastAsia="宋体" w:cs="宋体"/>
                <w:szCs w:val="21"/>
                <w:highlight w:val="none"/>
              </w:rPr>
              <w:t>电脑</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打印机</w:t>
            </w:r>
            <w:r>
              <w:rPr>
                <w:rFonts w:hint="eastAsia" w:ascii="宋体" w:hAnsi="宋体" w:cs="宋体"/>
                <w:szCs w:val="21"/>
                <w:highlight w:val="none"/>
                <w:lang w:val="en-US" w:eastAsia="zh-CN"/>
              </w:rPr>
              <w:t>等</w:t>
            </w:r>
            <w:r>
              <w:rPr>
                <w:rFonts w:hint="eastAsia" w:ascii="宋体" w:hAnsi="宋体" w:eastAsia="宋体" w:cs="宋体"/>
                <w:szCs w:val="21"/>
                <w:highlight w:val="none"/>
              </w:rPr>
              <w:t>办</w:t>
            </w:r>
            <w:r>
              <w:rPr>
                <w:rFonts w:hint="eastAsia" w:ascii="宋体" w:hAnsi="宋体" w:cs="宋体"/>
                <w:szCs w:val="21"/>
                <w:highlight w:val="none"/>
              </w:rPr>
              <w:t>公设备，可以满足</w:t>
            </w:r>
            <w:r>
              <w:rPr>
                <w:rFonts w:hint="eastAsia"/>
                <w:szCs w:val="21"/>
                <w:highlight w:val="none"/>
                <w:lang w:val="en-US" w:eastAsia="zh-CN"/>
              </w:rPr>
              <w:t>资质范围内的工程测量；土地利用总体规划及专项规划的编制、设计</w:t>
            </w:r>
            <w:r>
              <w:rPr>
                <w:rFonts w:hint="eastAsia" w:ascii="宋体" w:hAnsi="宋体"/>
                <w:szCs w:val="21"/>
                <w:highlight w:val="none"/>
              </w:rPr>
              <w:t>的</w:t>
            </w:r>
            <w:r>
              <w:rPr>
                <w:rFonts w:hint="eastAsia" w:ascii="宋体" w:hAnsi="宋体" w:cs="宋体"/>
                <w:szCs w:val="21"/>
                <w:highlight w:val="none"/>
              </w:rPr>
              <w:t>需要。特种设备：无。公司未建立信息管理系统用于服务。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办公所场设备布置合理，通道畅通，照明设施齐全，均配备了消防设施等设施。办公室明亮，服务场所光线较充足。每月由综合管理部对工作环境进行定期检查。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highlight w:val="none"/>
              </w:rPr>
            </w:pPr>
            <w:r>
              <w:rPr>
                <w:rFonts w:hint="eastAsia"/>
                <w:b/>
                <w:bCs/>
                <w:highlight w:val="none"/>
              </w:rPr>
              <w:t>监视和测量资源</w:t>
            </w:r>
          </w:p>
          <w:p>
            <w:pPr>
              <w:spacing w:line="400" w:lineRule="exact"/>
              <w:rPr>
                <w:rFonts w:hint="eastAsia" w:eastAsia="宋体"/>
                <w:highlight w:val="none"/>
                <w:lang w:eastAsia="zh-CN"/>
              </w:rPr>
            </w:pPr>
            <w:r>
              <w:rPr>
                <w:rFonts w:hint="eastAsia" w:ascii="宋体" w:hAnsi="宋体" w:cs="宋体"/>
                <w:szCs w:val="21"/>
                <w:highlight w:val="none"/>
              </w:rPr>
              <w:t>配置有</w:t>
            </w:r>
            <w:r>
              <w:rPr>
                <w:rFonts w:hint="eastAsia" w:ascii="宋体" w:hAnsi="宋体" w:eastAsia="宋体" w:cs="Times New Roman"/>
                <w:szCs w:val="21"/>
                <w:highlight w:val="none"/>
              </w:rPr>
              <w:t>GNSS接收机、</w:t>
            </w:r>
            <w:r>
              <w:rPr>
                <w:rFonts w:hint="eastAsia" w:ascii="宋体" w:hAnsi="宋体" w:cs="Times New Roman"/>
                <w:szCs w:val="21"/>
                <w:highlight w:val="none"/>
                <w:lang w:val="en-US" w:eastAsia="zh-CN"/>
              </w:rPr>
              <w:t>水准仪、全站仪等</w:t>
            </w:r>
            <w:r>
              <w:rPr>
                <w:rFonts w:hint="eastAsia" w:ascii="宋体" w:hAnsi="宋体" w:cs="宋体"/>
                <w:szCs w:val="21"/>
                <w:highlight w:val="none"/>
              </w:rPr>
              <w:t>，提供有有效检定证书，能满足</w:t>
            </w:r>
            <w:r>
              <w:rPr>
                <w:rFonts w:hint="eastAsia" w:ascii="宋体" w:hAnsi="宋体" w:cs="宋体"/>
                <w:szCs w:val="21"/>
                <w:highlight w:val="none"/>
                <w:lang w:eastAsia="zh-CN"/>
              </w:rPr>
              <w:t>测量</w:t>
            </w:r>
            <w:r>
              <w:rPr>
                <w:rFonts w:hint="eastAsia" w:ascii="宋体" w:hAnsi="宋体" w:cs="宋体"/>
                <w:szCs w:val="21"/>
                <w:highlight w:val="none"/>
              </w:rPr>
              <w:t>需求</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rPr>
              <w:t>（EMS对重要环境因素控制，重大环境因素</w:t>
            </w:r>
            <w:r>
              <w:rPr>
                <w:rFonts w:hint="eastAsia"/>
                <w:b/>
                <w:color w:val="000000" w:themeColor="text1"/>
                <w:sz w:val="20"/>
                <w:szCs w:val="20"/>
                <w:highlight w:val="none"/>
              </w:rPr>
              <w:t>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highlight w:val="none"/>
              </w:rPr>
              <w:t>组织重要环境因素为</w:t>
            </w:r>
            <w:r>
              <w:rPr>
                <w:rFonts w:hint="eastAsia" w:ascii="宋体" w:hAnsi="宋体" w:cs="宋体"/>
                <w:szCs w:val="21"/>
                <w:highlight w:val="none"/>
              </w:rPr>
              <w:t>固废排放、潜在火灾</w:t>
            </w:r>
            <w:r>
              <w:rPr>
                <w:rFonts w:hint="eastAsia" w:asciiTheme="minorEastAsia" w:hAnsiTheme="minorEastAsia" w:eastAsiaTheme="minorEastAsia"/>
                <w:bCs/>
                <w:iCs/>
                <w:highlight w:val="none"/>
              </w:rPr>
              <w:t>，需要应对的风险和机遇相关的过程为维保服务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宋体" w:hAnsi="宋体" w:cs="宋体"/>
                <w:szCs w:val="21"/>
                <w:highlight w:val="none"/>
              </w:rPr>
              <w:t>（含危险固废）</w:t>
            </w:r>
            <w:r>
              <w:rPr>
                <w:rFonts w:hint="eastAsia" w:asciiTheme="minorEastAsia" w:hAnsiTheme="minorEastAsia" w:eastAsiaTheme="minorEastAsia"/>
                <w:bCs/>
                <w:iCs/>
                <w:highlight w:val="none"/>
              </w:rPr>
              <w:t>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w:t>
            </w:r>
            <w:r>
              <w:rPr>
                <w:rFonts w:hint="eastAsia" w:asciiTheme="minorEastAsia" w:hAnsiTheme="minorEastAsia" w:eastAsiaTheme="minorEastAsia"/>
                <w:bCs/>
                <w:iCs/>
                <w:highlight w:val="none"/>
              </w:rPr>
              <w:t>的过程，评价出了</w:t>
            </w:r>
            <w:r>
              <w:rPr>
                <w:rFonts w:hint="eastAsia" w:asciiTheme="minorEastAsia" w:hAnsiTheme="minorEastAsia" w:eastAsiaTheme="minorEastAsia"/>
                <w:bCs/>
                <w:iCs/>
                <w:highlight w:val="none"/>
                <w:lang w:val="en-US" w:eastAsia="zh-CN"/>
              </w:rPr>
              <w:t>1、</w:t>
            </w:r>
            <w:r>
              <w:rPr>
                <w:rFonts w:hint="eastAsia"/>
                <w:szCs w:val="21"/>
                <w:highlight w:val="none"/>
              </w:rPr>
              <w:t>火灾伤害；2、摔伤、碰伤等意外伤害；3、用电、交通重大伤亡事故</w:t>
            </w:r>
            <w:r>
              <w:rPr>
                <w:rFonts w:hint="eastAsia" w:ascii="宋体" w:hAnsi="宋体"/>
                <w:szCs w:val="21"/>
                <w:highlight w:val="none"/>
              </w:rPr>
              <w:t>等</w:t>
            </w:r>
            <w:r>
              <w:rPr>
                <w:rFonts w:hint="eastAsia" w:asciiTheme="minorEastAsia" w:hAnsiTheme="minorEastAsia" w:eastAsiaTheme="minorEastAsia"/>
                <w:bCs/>
                <w:iCs/>
                <w:highlight w:val="none"/>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w:t>
            </w:r>
            <w:r>
              <w:rPr>
                <w:rFonts w:hint="eastAsia" w:ascii="宋体" w:hAnsi="宋体" w:cs="宋体"/>
                <w:color w:val="000000"/>
                <w:szCs w:val="21"/>
                <w:highlight w:val="none"/>
              </w:rPr>
              <w:t>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w:t>
            </w:r>
            <w:r>
              <w:rPr>
                <w:rFonts w:hint="eastAsia" w:ascii="宋体" w:hAnsi="宋体" w:cs="宋体"/>
                <w:szCs w:val="21"/>
                <w:highlight w:val="none"/>
                <w:lang w:val="en-US" w:eastAsia="zh-CN"/>
              </w:rPr>
              <w:t>021</w:t>
            </w:r>
            <w:r>
              <w:rPr>
                <w:rFonts w:hint="eastAsia" w:ascii="宋体" w:hAnsi="宋体" w:cs="宋体"/>
                <w:szCs w:val="21"/>
                <w:highlight w:val="none"/>
              </w:rPr>
              <w:t>年1月-202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w:t>
            </w:r>
            <w:r>
              <w:rPr>
                <w:rFonts w:hint="eastAsia" w:ascii="宋体" w:hAnsi="宋体" w:cs="宋体"/>
                <w:color w:val="000000"/>
                <w:szCs w:val="21"/>
                <w:highlight w:val="none"/>
              </w:rPr>
              <w:t>的利用上不够，需要改善。近年来未发生重大顾客投诉和产品质量事故。顾客满意度调查按规定实施，</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月实施，满意度评价9</w:t>
            </w:r>
            <w:r>
              <w:rPr>
                <w:rFonts w:hint="eastAsia" w:ascii="宋体" w:hAnsi="宋体" w:cs="宋体"/>
                <w:szCs w:val="21"/>
                <w:highlight w:val="none"/>
                <w:lang w:val="en-US" w:eastAsia="zh-CN"/>
              </w:rPr>
              <w:t>1%</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w:t>
            </w:r>
            <w:r>
              <w:rPr>
                <w:rFonts w:hint="eastAsia" w:ascii="宋体" w:hAnsi="宋体"/>
                <w:szCs w:val="21"/>
                <w:highlight w:val="none"/>
              </w:rPr>
              <w:t>内审时间：202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日，拟定了审核实施表，明确了内审范围，内审人员经培训合格上岗，能力满足要求，未出现审核本部门情况，内审不符合项</w:t>
            </w:r>
            <w:r>
              <w:rPr>
                <w:rFonts w:hint="eastAsia" w:ascii="宋体" w:hAnsi="宋体"/>
                <w:szCs w:val="21"/>
                <w:highlight w:val="none"/>
                <w:lang w:val="en-US" w:eastAsia="zh-CN"/>
              </w:rPr>
              <w:t>1</w:t>
            </w:r>
            <w:r>
              <w:rPr>
                <w:rFonts w:hint="eastAsia" w:ascii="宋体" w:hAnsi="宋体"/>
                <w:szCs w:val="21"/>
                <w:highlight w:val="none"/>
              </w:rPr>
              <w:t>项，涉及</w:t>
            </w:r>
            <w:r>
              <w:rPr>
                <w:rFonts w:hint="eastAsia" w:ascii="宋体" w:hAnsi="宋体"/>
                <w:szCs w:val="21"/>
                <w:highlight w:val="none"/>
                <w:lang w:val="en-US" w:eastAsia="zh-CN"/>
              </w:rPr>
              <w:t>综合</w:t>
            </w:r>
            <w:r>
              <w:rPr>
                <w:rFonts w:hint="eastAsia" w:ascii="宋体" w:hAnsi="宋体"/>
                <w:szCs w:val="21"/>
                <w:highlight w:val="none"/>
              </w:rPr>
              <w:t>部E/S</w:t>
            </w:r>
            <w:r>
              <w:rPr>
                <w:rFonts w:hint="eastAsia" w:ascii="宋体" w:hAnsi="宋体"/>
                <w:szCs w:val="21"/>
                <w:highlight w:val="none"/>
                <w:lang w:val="en-US" w:eastAsia="zh-CN"/>
              </w:rPr>
              <w:t>9.1.2</w:t>
            </w:r>
            <w:r>
              <w:rPr>
                <w:rFonts w:hint="eastAsia" w:ascii="宋体" w:hAnsi="宋体"/>
                <w:szCs w:val="21"/>
                <w:highlight w:val="none"/>
              </w:rPr>
              <w:t>条款公司未做合规性评价，</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3. 一阶段提出问题的整改情况?</w:t>
            </w:r>
          </w:p>
          <w:p>
            <w:pPr>
              <w:spacing w:line="240" w:lineRule="exact"/>
              <w:rPr>
                <w:b/>
                <w:color w:val="000000" w:themeColor="text1"/>
                <w:spacing w:val="-20"/>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综合</w:t>
      </w:r>
      <w:r>
        <w:rPr>
          <w:rFonts w:hint="eastAsia"/>
          <w:b/>
          <w:color w:val="000000" w:themeColor="text1"/>
          <w:highlight w:val="none"/>
        </w:rPr>
        <w:t>部门</w:t>
      </w:r>
      <w:r>
        <w:rPr>
          <w:rFonts w:hint="eastAsia"/>
          <w:b/>
          <w:color w:val="000000" w:themeColor="text1"/>
          <w:highlight w:val="none"/>
          <w:lang w:val="en-US" w:eastAsia="zh-CN"/>
        </w:rPr>
        <w:t>ES9.1.1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Cs w:val="21"/>
              </w:rPr>
              <w:t>■</w:t>
            </w:r>
            <w:r>
              <w:rPr>
                <w:rFonts w:hint="eastAsia"/>
                <w:b/>
                <w:color w:val="000000" w:themeColor="text1"/>
                <w:sz w:val="22"/>
                <w:szCs w:val="22"/>
              </w:rPr>
              <w:t>QMS</w:t>
            </w:r>
            <w:r>
              <w:rPr>
                <w:rFonts w:hint="eastAsia" w:ascii="宋体" w:hAnsi="宋体" w:eastAsia="宋体" w:cs="宋体"/>
                <w:b/>
                <w:color w:val="000000" w:themeColor="text1"/>
                <w:sz w:val="22"/>
                <w:szCs w:val="22"/>
              </w:rPr>
              <w:t>■</w:t>
            </w:r>
            <w:r>
              <w:rPr>
                <w:rFonts w:hint="eastAsia"/>
                <w:b/>
                <w:color w:val="000000" w:themeColor="text1"/>
                <w:sz w:val="22"/>
                <w:szCs w:val="22"/>
              </w:rPr>
              <w:t xml:space="preserve">EMS  </w:t>
            </w:r>
            <w:r>
              <w:rPr>
                <w:rFonts w:hint="eastAsia" w:ascii="宋体" w:hAnsi="宋体" w:eastAsia="宋体" w:cs="宋体"/>
                <w:b/>
                <w:color w:val="000000" w:themeColor="text1"/>
                <w:sz w:val="22"/>
                <w:szCs w:val="22"/>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审核范围变更，</w:t>
            </w:r>
          </w:p>
          <w:p>
            <w:pPr>
              <w:spacing w:line="320" w:lineRule="exact"/>
            </w:pPr>
            <w:r>
              <w:rPr>
                <w:rFonts w:ascii="宋体" w:hAnsi="宋体"/>
                <w:b/>
                <w:color w:val="000000" w:themeColor="text1"/>
              </w:rPr>
              <w:t>QMS:</w:t>
            </w:r>
            <w:r>
              <w:rPr>
                <w:rFonts w:hint="eastAsia"/>
                <w:szCs w:val="21"/>
                <w:lang w:val="en-US" w:eastAsia="zh-CN"/>
              </w:rPr>
              <w:t>资质范围内的工程测量；土地利用总体规划及专项规划的编制、设计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szCs w:val="21"/>
                <w:lang w:val="en-US" w:eastAsia="zh-CN"/>
              </w:rPr>
              <w:t>资质范围内的</w:t>
            </w:r>
            <w:r>
              <w:rPr>
                <w:rFonts w:hint="eastAsia"/>
                <w:sz w:val="20"/>
                <w:lang w:eastAsia="zh-CN"/>
              </w:rPr>
              <w:t>工程测量；土地利用总体规划及专项规划的编制、设计</w:t>
            </w:r>
            <w:r>
              <w:rPr>
                <w:sz w:val="20"/>
              </w:rPr>
              <w:t>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szCs w:val="21"/>
                <w:lang w:val="en-US" w:eastAsia="zh-CN"/>
              </w:rPr>
              <w:t>资质范围内的</w:t>
            </w:r>
            <w:r>
              <w:rPr>
                <w:rFonts w:hint="eastAsia"/>
                <w:sz w:val="20"/>
                <w:lang w:eastAsia="zh-CN"/>
              </w:rPr>
              <w:t>工程测量；土地利用总体规划及专项规划的编制、设计</w:t>
            </w:r>
            <w:r>
              <w:rPr>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4"/>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ascii="宋体" w:hAnsi="宋体" w:eastAsia="宋体" w:cs="宋体"/>
                <w:b/>
                <w:color w:val="000000" w:themeColor="text1"/>
                <w:spacing w:val="-10"/>
                <w:szCs w:val="21"/>
              </w:rPr>
              <w:t>■</w:t>
            </w:r>
            <w:r>
              <w:rPr>
                <w:rFonts w:hint="eastAsia"/>
                <w:b/>
                <w:color w:val="000000" w:themeColor="text1"/>
                <w:szCs w:val="21"/>
              </w:rPr>
              <w:t xml:space="preserve">EMS   </w:t>
            </w:r>
            <w:r>
              <w:rPr>
                <w:rFonts w:hint="eastAsia" w:ascii="宋体" w:hAnsi="宋体" w:eastAsia="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1597660</wp:posOffset>
            </wp:positionH>
            <wp:positionV relativeFrom="paragraph">
              <wp:posOffset>347345</wp:posOffset>
            </wp:positionV>
            <wp:extent cx="660400" cy="413385"/>
            <wp:effectExtent l="0" t="0" r="0" b="5715"/>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6"/>
                    <a:stretch>
                      <a:fillRect/>
                    </a:stretch>
                  </pic:blipFill>
                  <pic:spPr>
                    <a:xfrm>
                      <a:off x="0" y="0"/>
                      <a:ext cx="660400" cy="41338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3406775</wp:posOffset>
            </wp:positionH>
            <wp:positionV relativeFrom="paragraph">
              <wp:posOffset>208915</wp:posOffset>
            </wp:positionV>
            <wp:extent cx="680720" cy="297180"/>
            <wp:effectExtent l="0" t="0" r="5080" b="7620"/>
            <wp:wrapNone/>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7"/>
                    <a:stretch>
                      <a:fillRect/>
                    </a:stretch>
                  </pic:blipFill>
                  <pic:spPr>
                    <a:xfrm>
                      <a:off x="0" y="0"/>
                      <a:ext cx="680720" cy="297180"/>
                    </a:xfrm>
                    <a:prstGeom prst="rect">
                      <a:avLst/>
                    </a:prstGeom>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2806700</wp:posOffset>
            </wp:positionH>
            <wp:positionV relativeFrom="paragraph">
              <wp:posOffset>193675</wp:posOffset>
            </wp:positionV>
            <wp:extent cx="489585" cy="370840"/>
            <wp:effectExtent l="0" t="0" r="5715"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8"/>
                    <a:stretch>
                      <a:fillRect/>
                    </a:stretch>
                  </pic:blipFill>
                  <pic:spPr>
                    <a:xfrm>
                      <a:off x="0" y="0"/>
                      <a:ext cx="489585" cy="370840"/>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1567180</wp:posOffset>
            </wp:positionH>
            <wp:positionV relativeFrom="paragraph">
              <wp:posOffset>219075</wp:posOffset>
            </wp:positionV>
            <wp:extent cx="407035" cy="421005"/>
            <wp:effectExtent l="0" t="0" r="12065" b="1079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pic:cNvPicPr>
                  </pic:nvPicPr>
                  <pic:blipFill>
                    <a:blip r:embed="rId9"/>
                    <a:stretch>
                      <a:fillRect/>
                    </a:stretch>
                  </pic:blipFill>
                  <pic:spPr>
                    <a:xfrm>
                      <a:off x="0" y="0"/>
                      <a:ext cx="407035" cy="42100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2097405</wp:posOffset>
            </wp:positionH>
            <wp:positionV relativeFrom="paragraph">
              <wp:posOffset>170815</wp:posOffset>
            </wp:positionV>
            <wp:extent cx="615315" cy="446405"/>
            <wp:effectExtent l="0" t="0" r="6985" b="10795"/>
            <wp:wrapNone/>
            <wp:docPr id="4" name="图片 5"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24309\AppData\Local\Temp\WeChat Files\5990baca09647c352f1321b31faa90a.jpg"/>
                    <pic:cNvPicPr>
                      <a:picLocks noChangeAspect="1"/>
                    </pic:cNvPicPr>
                  </pic:nvPicPr>
                  <pic:blipFill>
                    <a:blip r:embed="rId10"/>
                    <a:stretch>
                      <a:fillRect/>
                    </a:stretch>
                  </pic:blipFill>
                  <pic:spPr>
                    <a:xfrm>
                      <a:off x="0" y="0"/>
                      <a:ext cx="615315" cy="44640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b/>
          <w:sz w:val="20"/>
        </w:rPr>
        <w:t>2021年05月24日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740410</wp:posOffset>
            </wp:positionH>
            <wp:positionV relativeFrom="paragraph">
              <wp:posOffset>92075</wp:posOffset>
            </wp:positionV>
            <wp:extent cx="660400" cy="413385"/>
            <wp:effectExtent l="0" t="0" r="0" b="5715"/>
            <wp:wrapNone/>
            <wp:docPr id="8"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新文档 2020-01-09 10.59.53_副本.jpg"/>
                    <pic:cNvPicPr>
                      <a:picLocks noChangeAspect="1"/>
                    </pic:cNvPicPr>
                  </pic:nvPicPr>
                  <pic:blipFill>
                    <a:blip r:embed="rId6"/>
                    <a:stretch>
                      <a:fillRect/>
                    </a:stretch>
                  </pic:blipFill>
                  <pic:spPr>
                    <a:xfrm>
                      <a:off x="0" y="0"/>
                      <a:ext cx="660400" cy="413385"/>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2B1D46"/>
    <w:multiLevelType w:val="singleLevel"/>
    <w:tmpl w:val="602B1D4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F54F24"/>
    <w:rsid w:val="1E4D29B8"/>
    <w:rsid w:val="292C0477"/>
    <w:rsid w:val="336E3FD0"/>
    <w:rsid w:val="355850C6"/>
    <w:rsid w:val="39711E7A"/>
    <w:rsid w:val="3B4E4C7C"/>
    <w:rsid w:val="520C46A4"/>
    <w:rsid w:val="6A364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rPr>
      <w:color w:val="0000FF"/>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1.tif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2021-05-24T11:03:46Z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