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038"/>
        <w:gridCol w:w="820"/>
        <w:gridCol w:w="962"/>
        <w:gridCol w:w="378"/>
        <w:gridCol w:w="1220"/>
        <w:gridCol w:w="216"/>
        <w:gridCol w:w="704"/>
        <w:gridCol w:w="397"/>
        <w:gridCol w:w="1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82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重庆新阳地理信息有限公司</w:t>
            </w:r>
            <w:bookmarkEnd w:id="4"/>
          </w:p>
        </w:tc>
        <w:tc>
          <w:tcPr>
            <w:tcW w:w="181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79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Q：34.01.01;34.01.02;34.06.00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E：34.01.01;34.01.02;34.06.00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O：34.01.01;34.01.02;34.06.00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王勇富</w:t>
            </w:r>
          </w:p>
        </w:tc>
        <w:tc>
          <w:tcPr>
            <w:tcW w:w="8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776" w:type="dxa"/>
            <w:gridSpan w:val="4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Q：34.01.01;34.01.02;34.06.00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E：34.01.01;34.01.02;34.06.00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O：34.01.01;34.01.02;34.06.00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6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0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3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E:34.01.01,34.01.02,34.06.00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O:34.01.01,34.01.02,34.06.00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E:34.01.01,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34.01.02,34.06.00</w:t>
            </w:r>
          </w:p>
          <w:p>
            <w:pPr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O:34.01.01,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34.01.02,34.06.00</w:t>
            </w:r>
          </w:p>
        </w:tc>
        <w:tc>
          <w:tcPr>
            <w:tcW w:w="12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Q:34.01.02,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34.06.00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3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工程测量流程：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接任务----基础资料收集---开始作业----报告编写----质量检查-------项目最终成果备份与提交。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测绘为关键过程</w:t>
            </w:r>
            <w:r>
              <w:rPr>
                <w:rFonts w:hint="eastAsia"/>
                <w:b/>
                <w:sz w:val="20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特殊过程也是需要确认过程：测量过程。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 </w:t>
            </w:r>
            <w:bookmarkStart w:id="6" w:name="_GoBack"/>
            <w:bookmarkEnd w:id="6"/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规划流程：接任务---资料收集---基础分析与评价---专题研究---方案编制----调整完善----成果提交，审批----提交最终规划成果。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方案编制阶段为关键过程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关键过程：</w:t>
            </w:r>
            <w:r>
              <w:rPr>
                <w:rFonts w:hint="eastAsia"/>
                <w:b/>
                <w:sz w:val="20"/>
              </w:rPr>
              <w:t>测绘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方案</w:t>
            </w:r>
            <w:r>
              <w:rPr>
                <w:rFonts w:hint="eastAsia"/>
                <w:b/>
                <w:sz w:val="20"/>
                <w:szCs w:val="22"/>
              </w:rPr>
              <w:t>编制过程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过程的控制</w:t>
            </w:r>
            <w:r>
              <w:rPr>
                <w:rFonts w:hint="eastAsia"/>
                <w:b/>
                <w:sz w:val="20"/>
                <w:lang w:eastAsia="zh-CN"/>
              </w:rPr>
              <w:t>：测量-编制报告</w:t>
            </w:r>
            <w:r>
              <w:rPr>
                <w:rFonts w:hint="eastAsia"/>
                <w:b/>
                <w:sz w:val="20"/>
                <w:szCs w:val="22"/>
              </w:rPr>
              <w:t>报告工序，依据检验规程进行检测和处理数据。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pStyle w:val="12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1）固废排放；2）潜在火灾。</w:t>
            </w:r>
          </w:p>
          <w:p>
            <w:pPr>
              <w:numPr>
                <w:ilvl w:val="0"/>
                <w:numId w:val="0"/>
              </w:numPr>
              <w:tabs>
                <w:tab w:val="left" w:pos="1080"/>
              </w:tabs>
              <w:spacing w:line="400" w:lineRule="exac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控制措施：环境目标管理方案；运行控制及应急预案。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080"/>
              </w:tabs>
              <w:spacing w:line="400" w:lineRule="exac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1、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火灾伤害；2、摔伤、碰伤等意外伤害；3、用电、交通重大伤亡事故</w:t>
            </w:r>
          </w:p>
          <w:p>
            <w:pPr>
              <w:numPr>
                <w:ilvl w:val="0"/>
                <w:numId w:val="0"/>
              </w:numPr>
              <w:tabs>
                <w:tab w:val="left" w:pos="1080"/>
              </w:tabs>
              <w:spacing w:line="400" w:lineRule="exact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控制措施：</w:t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安全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目标管理方案；运行控制及应急预案。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《全球定位系统（GPS）测量规范》GB/T18314—2016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《1:500 1:1000 1:2000地形图航空摄影测量外业规范》GB 7931--2015、《1:500 1:1000 1:2000比例尺地形图航空摄影规范》GB 6962--2005、《基础地理信息应急制图规范》CH/T 4018-2013、《城市地理信息系统设计规范》GB/T 18578-2008、《重庆市城乡规划基础空间数据要求》DB50/T 592-2015、《水土保持规划编制规范》SL/T 335-2014、《测绘技术设计规定》CH/T1004—2005; 《测绘产品检查验收规定》GH1002-1995、《测绘产品质量品评定标准》GH1003-1995、《光电测距仪检定规范》CH 8001-1991、《基础地理信息数字产品数据文件命名规则》CH/T 1005-2000、《测绘技术总结编写规定》CH/T 1001-2005、《测绘成果质量检验报告编写基本规定》CH/Z 1001-2007</w:t>
            </w:r>
            <w:r>
              <w:rPr>
                <w:rFonts w:hint="eastAsia"/>
                <w:b/>
                <w:sz w:val="20"/>
                <w:lang w:val="en-US" w:eastAsia="zh-CN"/>
              </w:rPr>
              <w:t>及客户技术要求等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检测项目按规程执行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4475480</wp:posOffset>
            </wp:positionH>
            <wp:positionV relativeFrom="paragraph">
              <wp:posOffset>111760</wp:posOffset>
            </wp:positionV>
            <wp:extent cx="619760" cy="387985"/>
            <wp:effectExtent l="0" t="0" r="2540" b="4445"/>
            <wp:wrapNone/>
            <wp:docPr id="2" name="图片 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1154430</wp:posOffset>
            </wp:positionH>
            <wp:positionV relativeFrom="paragraph">
              <wp:posOffset>104140</wp:posOffset>
            </wp:positionV>
            <wp:extent cx="642620" cy="297180"/>
            <wp:effectExtent l="0" t="0" r="5080" b="7620"/>
            <wp:wrapNone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cs="Times New Roman"/>
          <w:b/>
          <w:sz w:val="22"/>
          <w:szCs w:val="22"/>
          <w:lang w:val="en-US" w:eastAsia="zh-CN"/>
        </w:rPr>
        <w:t>2021.2.22</w:t>
      </w:r>
      <w:r>
        <w:rPr>
          <w:rFonts w:hint="eastAsia" w:ascii="Times New Roman" w:hAnsi="Times New Roman" w:cs="Times New Roman"/>
          <w:b/>
          <w:sz w:val="22"/>
          <w:szCs w:val="22"/>
        </w:rPr>
        <w:t xml:space="preserve"> </w:t>
      </w:r>
      <w:r>
        <w:rPr>
          <w:rFonts w:hint="eastAsia"/>
          <w:b/>
          <w:sz w:val="18"/>
          <w:szCs w:val="18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cs="Times New Roman"/>
          <w:b/>
          <w:sz w:val="22"/>
          <w:szCs w:val="22"/>
          <w:lang w:val="en-US" w:eastAsia="zh-CN"/>
        </w:rPr>
        <w:t>2021.2.22</w:t>
      </w:r>
      <w:r>
        <w:rPr>
          <w:rFonts w:hint="eastAsia" w:ascii="Times New Roman" w:hAnsi="Times New Roman" w:cs="Times New Roman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7762720"/>
    <w:rsid w:val="4C49305D"/>
    <w:rsid w:val="661368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13</TotalTime>
  <ScaleCrop>false</ScaleCrop>
  <LinksUpToDate>false</LinksUpToDate>
  <CharactersWithSpaces>314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2021-05-24T08:56:51Z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