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880" w:type="dxa"/>
            <w:vAlign w:val="center"/>
          </w:tcPr>
          <w:p>
            <w:pPr>
              <w:spacing w:line="360" w:lineRule="auto"/>
              <w:rPr>
                <w:rFonts w:hint="default" w:eastAsia="宋体"/>
                <w:color w:val="auto"/>
                <w:szCs w:val="21"/>
                <w:lang w:val="en-US" w:eastAsia="zh-CN"/>
              </w:rPr>
            </w:pPr>
            <w:r>
              <w:rPr>
                <w:rFonts w:hint="eastAsia"/>
                <w:szCs w:val="21"/>
              </w:rPr>
              <w:t>受审核部门：</w:t>
            </w:r>
            <w:r>
              <w:rPr>
                <w:rFonts w:hint="eastAsia" w:ascii="宋体" w:hAnsi="宋体" w:cs="Times New Roman"/>
                <w:sz w:val="21"/>
                <w:szCs w:val="21"/>
              </w:rPr>
              <w:t>管理层、</w:t>
            </w:r>
            <w:r>
              <w:rPr>
                <w:rFonts w:hint="eastAsia" w:ascii="宋体" w:hAnsi="宋体" w:cs="Times New Roman"/>
                <w:sz w:val="21"/>
                <w:szCs w:val="21"/>
                <w:lang w:val="en-US" w:eastAsia="zh-CN"/>
              </w:rPr>
              <w:t>行政</w:t>
            </w:r>
            <w:r>
              <w:rPr>
                <w:rFonts w:hint="eastAsia" w:ascii="宋体" w:hAnsi="宋体" w:cs="Times New Roman"/>
                <w:sz w:val="21"/>
                <w:szCs w:val="21"/>
              </w:rPr>
              <w:t>部、</w:t>
            </w:r>
            <w:r>
              <w:rPr>
                <w:rFonts w:hint="eastAsia" w:ascii="宋体" w:hAnsi="宋体" w:cs="Times New Roman"/>
                <w:sz w:val="21"/>
                <w:szCs w:val="21"/>
                <w:lang w:val="en-US" w:eastAsia="zh-CN"/>
              </w:rPr>
              <w:t>供销部</w:t>
            </w:r>
            <w:r>
              <w:rPr>
                <w:rFonts w:hint="eastAsia" w:ascii="宋体" w:hAnsi="宋体" w:cs="Times New Roman"/>
                <w:sz w:val="21"/>
                <w:szCs w:val="21"/>
              </w:rPr>
              <w:t>、</w:t>
            </w:r>
            <w:r>
              <w:rPr>
                <w:rFonts w:hint="eastAsia" w:ascii="宋体" w:hAnsi="宋体" w:cs="Times New Roman"/>
                <w:sz w:val="21"/>
                <w:szCs w:val="21"/>
                <w:lang w:val="en-US" w:eastAsia="zh-CN"/>
              </w:rPr>
              <w:t>工程</w:t>
            </w:r>
            <w:r>
              <w:rPr>
                <w:rFonts w:hint="eastAsia" w:ascii="宋体" w:hAnsi="宋体" w:cs="Times New Roman"/>
                <w:sz w:val="21"/>
                <w:szCs w:val="21"/>
              </w:rPr>
              <w:t>部</w:t>
            </w:r>
          </w:p>
          <w:p>
            <w:pPr>
              <w:spacing w:line="360" w:lineRule="auto"/>
              <w:rPr>
                <w:rFonts w:hint="default" w:eastAsia="宋体"/>
                <w:szCs w:val="21"/>
                <w:lang w:val="en-US" w:eastAsia="zh-CN"/>
              </w:rPr>
            </w:pPr>
            <w:r>
              <w:rPr>
                <w:rFonts w:hint="eastAsia" w:asciiTheme="minorEastAsia" w:hAnsiTheme="minorEastAsia" w:eastAsiaTheme="minorEastAsia" w:cstheme="minorEastAsia"/>
                <w:sz w:val="21"/>
                <w:szCs w:val="21"/>
                <w:lang w:val="en-US" w:eastAsia="zh-CN"/>
              </w:rPr>
              <w:t>总经理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祁佰忱  管代：马钰     </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sz w:val="21"/>
                <w:szCs w:val="21"/>
                <w:lang w:val="en-US" w:eastAsia="zh-CN"/>
              </w:rPr>
              <w:t>李佩佩</w:t>
            </w:r>
          </w:p>
        </w:tc>
        <w:tc>
          <w:tcPr>
            <w:tcW w:w="709"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widowControl/>
              <w:jc w:val="left"/>
              <w:rPr>
                <w:szCs w:val="21"/>
              </w:rPr>
            </w:pPr>
          </w:p>
        </w:tc>
        <w:tc>
          <w:tcPr>
            <w:tcW w:w="960" w:type="dxa"/>
            <w:vMerge w:val="continue"/>
            <w:vAlign w:val="center"/>
          </w:tcPr>
          <w:p>
            <w:pPr>
              <w:widowControl/>
              <w:jc w:val="left"/>
              <w:rPr>
                <w:szCs w:val="21"/>
              </w:rPr>
            </w:pPr>
          </w:p>
        </w:tc>
        <w:tc>
          <w:tcPr>
            <w:tcW w:w="10880" w:type="dxa"/>
            <w:vAlign w:val="center"/>
          </w:tcPr>
          <w:p>
            <w:pPr>
              <w:spacing w:before="120" w:line="360" w:lineRule="auto"/>
              <w:rPr>
                <w:rFonts w:hint="default" w:eastAsia="宋体"/>
                <w:szCs w:val="21"/>
                <w:lang w:val="en-US" w:eastAsia="zh-CN"/>
              </w:rPr>
            </w:pPr>
            <w:r>
              <w:rPr>
                <w:rFonts w:hint="eastAsia"/>
                <w:szCs w:val="21"/>
              </w:rPr>
              <w:t>审核员：李俐</w:t>
            </w:r>
            <w:r>
              <w:rPr>
                <w:szCs w:val="21"/>
              </w:rPr>
              <w:t xml:space="preserve">   </w:t>
            </w:r>
            <w:r>
              <w:rPr>
                <w:rFonts w:hint="eastAsia"/>
                <w:szCs w:val="21"/>
                <w:lang w:val="en-US" w:eastAsia="zh-CN"/>
              </w:rPr>
              <w:t xml:space="preserve">        </w:t>
            </w:r>
            <w:r>
              <w:rPr>
                <w:szCs w:val="21"/>
              </w:rPr>
              <w:t xml:space="preserve"> </w:t>
            </w:r>
            <w:r>
              <w:rPr>
                <w:rFonts w:hint="eastAsia"/>
                <w:szCs w:val="21"/>
              </w:rPr>
              <w:t>审核时间：</w:t>
            </w:r>
            <w:r>
              <w:rPr>
                <w:szCs w:val="21"/>
              </w:rPr>
              <w:t xml:space="preserve"> </w:t>
            </w:r>
            <w:r>
              <w:rPr>
                <w:rFonts w:hint="eastAsia"/>
                <w:szCs w:val="21"/>
              </w:rPr>
              <w:t>20</w:t>
            </w:r>
            <w:r>
              <w:rPr>
                <w:rFonts w:hint="eastAsia"/>
                <w:szCs w:val="21"/>
                <w:lang w:val="en-US" w:eastAsia="zh-CN"/>
              </w:rPr>
              <w:t>21</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20</w:t>
            </w:r>
            <w:r>
              <w:rPr>
                <w:rFonts w:hint="eastAsia"/>
                <w:szCs w:val="21"/>
              </w:rPr>
              <w:t>日</w:t>
            </w:r>
            <w:r>
              <w:rPr>
                <w:rFonts w:hint="eastAsia"/>
                <w:szCs w:val="21"/>
                <w:lang w:val="en-US" w:eastAsia="zh-CN"/>
              </w:rPr>
              <w:t>-21日</w:t>
            </w:r>
          </w:p>
        </w:tc>
        <w:tc>
          <w:tcPr>
            <w:tcW w:w="709" w:type="dxa"/>
            <w:vMerge w:val="continue"/>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widowControl/>
              <w:jc w:val="left"/>
              <w:rPr>
                <w:szCs w:val="21"/>
              </w:rPr>
            </w:pPr>
          </w:p>
        </w:tc>
        <w:tc>
          <w:tcPr>
            <w:tcW w:w="960" w:type="dxa"/>
            <w:vMerge w:val="continue"/>
            <w:vAlign w:val="center"/>
          </w:tcPr>
          <w:p>
            <w:pPr>
              <w:widowControl/>
              <w:jc w:val="left"/>
              <w:rPr>
                <w:szCs w:val="21"/>
              </w:rPr>
            </w:pPr>
          </w:p>
        </w:tc>
        <w:tc>
          <w:tcPr>
            <w:tcW w:w="10880" w:type="dxa"/>
            <w:vAlign w:val="center"/>
          </w:tcPr>
          <w:p>
            <w:pPr>
              <w:rPr>
                <w:rFonts w:hint="eastAsia" w:eastAsia="宋体"/>
                <w:szCs w:val="21"/>
                <w:lang w:val="en-US" w:eastAsia="zh-CN"/>
              </w:rPr>
            </w:pPr>
            <w:r>
              <w:rPr>
                <w:rFonts w:hint="eastAsia"/>
                <w:szCs w:val="21"/>
              </w:rPr>
              <w:t>审核条款：</w:t>
            </w:r>
            <w:r>
              <w:rPr>
                <w:rFonts w:hint="eastAsia"/>
                <w:szCs w:val="21"/>
                <w:lang w:val="en-US" w:eastAsia="zh-CN"/>
              </w:rPr>
              <w:t>略</w:t>
            </w:r>
          </w:p>
        </w:tc>
        <w:tc>
          <w:tcPr>
            <w:tcW w:w="709" w:type="dxa"/>
            <w:vMerge w:val="continue"/>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400" w:lineRule="exact"/>
              <w:rPr>
                <w:szCs w:val="21"/>
              </w:rPr>
            </w:pPr>
            <w:r>
              <w:rPr>
                <w:rFonts w:hint="eastAsia"/>
                <w:szCs w:val="21"/>
              </w:rPr>
              <w:t>企业名称确认</w:t>
            </w:r>
          </w:p>
          <w:p>
            <w:pPr>
              <w:spacing w:line="400" w:lineRule="exact"/>
              <w:rPr>
                <w:szCs w:val="21"/>
              </w:rPr>
            </w:pPr>
            <w:r>
              <w:rPr>
                <w:rFonts w:hint="eastAsia"/>
                <w:szCs w:val="21"/>
              </w:rPr>
              <w:t>地址（包括注册地址、生产</w:t>
            </w:r>
            <w:r>
              <w:rPr>
                <w:szCs w:val="21"/>
              </w:rPr>
              <w:t>/</w:t>
            </w:r>
            <w:r>
              <w:rPr>
                <w:rFonts w:hint="eastAsia"/>
                <w:szCs w:val="21"/>
              </w:rPr>
              <w:t>经营地址）、多场所地址等</w:t>
            </w:r>
          </w:p>
          <w:p>
            <w:pPr>
              <w:spacing w:line="400" w:lineRule="exact"/>
              <w:rPr>
                <w:szCs w:val="21"/>
              </w:rPr>
            </w:pPr>
            <w:r>
              <w:rPr>
                <w:rFonts w:hint="eastAsia"/>
                <w:szCs w:val="21"/>
              </w:rPr>
              <w:t>营业执照、组织机构代码证、相关资质的有效性确认</w:t>
            </w:r>
          </w:p>
          <w:p>
            <w:pPr>
              <w:widowControl/>
              <w:jc w:val="left"/>
              <w:rPr>
                <w:szCs w:val="21"/>
              </w:rPr>
            </w:pPr>
          </w:p>
        </w:tc>
        <w:tc>
          <w:tcPr>
            <w:tcW w:w="960" w:type="dxa"/>
            <w:vAlign w:val="center"/>
          </w:tcPr>
          <w:p>
            <w:pPr>
              <w:widowControl/>
              <w:jc w:val="left"/>
              <w:rPr>
                <w:szCs w:val="21"/>
              </w:rPr>
            </w:pPr>
          </w:p>
        </w:tc>
        <w:tc>
          <w:tcPr>
            <w:tcW w:w="10880" w:type="dxa"/>
            <w:vAlign w:val="center"/>
          </w:tcPr>
          <w:p>
            <w:pPr>
              <w:spacing w:line="360" w:lineRule="auto"/>
              <w:jc w:val="left"/>
              <w:rPr>
                <w:rFonts w:hint="default"/>
                <w:lang w:val="en-US" w:eastAsia="zh-CN"/>
              </w:rPr>
            </w:pPr>
            <w:r>
              <w:rPr>
                <w:rFonts w:hint="eastAsia"/>
                <w:lang w:val="en-US" w:eastAsia="zh-CN"/>
              </w:rPr>
              <w:t>面谈人员：总经理：</w:t>
            </w:r>
            <w:r>
              <w:rPr>
                <w:rFonts w:hint="eastAsia" w:asciiTheme="minorEastAsia" w:hAnsiTheme="minorEastAsia" w:eastAsiaTheme="minorEastAsia" w:cstheme="minorEastAsia"/>
                <w:sz w:val="21"/>
                <w:szCs w:val="21"/>
                <w:lang w:val="en-US" w:eastAsia="zh-CN"/>
              </w:rPr>
              <w:t xml:space="preserve">祁佰忱 </w:t>
            </w:r>
            <w:r>
              <w:rPr>
                <w:rFonts w:hint="eastAsia"/>
                <w:lang w:val="en-US" w:eastAsia="zh-CN"/>
              </w:rPr>
              <w:t xml:space="preserve">   管代： </w:t>
            </w:r>
            <w:r>
              <w:rPr>
                <w:rFonts w:hint="eastAsia" w:asciiTheme="minorEastAsia" w:hAnsiTheme="minorEastAsia" w:eastAsiaTheme="minorEastAsia" w:cstheme="minorEastAsia"/>
                <w:sz w:val="21"/>
                <w:szCs w:val="21"/>
                <w:lang w:val="en-US" w:eastAsia="zh-CN"/>
              </w:rPr>
              <w:t xml:space="preserve">马钰  </w:t>
            </w:r>
          </w:p>
          <w:p>
            <w:pPr>
              <w:spacing w:line="360" w:lineRule="auto"/>
              <w:ind w:firstLine="420" w:firstLineChars="200"/>
              <w:jc w:val="left"/>
              <w:rPr>
                <w:rFonts w:hint="eastAsia"/>
                <w:lang w:val="en-US" w:eastAsia="zh-CN"/>
              </w:rPr>
            </w:pPr>
            <w:r>
              <w:rPr>
                <w:rFonts w:hint="eastAsia"/>
                <w:lang w:val="en-US" w:eastAsia="zh-CN"/>
              </w:rPr>
              <w:t>总经理介绍公司成立于</w:t>
            </w:r>
            <w:r>
              <w:rPr>
                <w:rFonts w:hint="eastAsia"/>
              </w:rPr>
              <w:t>2001-07-21</w:t>
            </w:r>
            <w:r>
              <w:rPr>
                <w:rFonts w:hint="eastAsia"/>
                <w:lang w:eastAsia="zh-CN"/>
              </w:rPr>
              <w:t>，</w:t>
            </w:r>
            <w:r>
              <w:rPr>
                <w:rFonts w:hint="eastAsia"/>
                <w:lang w:val="en-US" w:eastAsia="zh-CN"/>
              </w:rPr>
              <w:t>西安曼海特工业技术有限公司是集研发、成套、销售为一体的科技型民营企业，是西门子系统集成商、ABB系统集成商、2009--2020国家级高新技术企业、西安经开区科技创新企业。是以工业设备和自动化系统设计、制造和服务为主的高新技术企业。公司自成立以来，一直专注于工业设备和自动化系统的设计、成套、研发。按ISO9001：2015 质量体系认证要求进行质量管理。公司拥有40多位资深高中级工程师，在工业生产自动化领域具有多年雄厚的技术储备。现有上百台设备用于工业生产，并在多个项目中荣获国家级省部级科技进步奖，其中包括四辊、六辊粗、中、精液压轧机，拉弯矫直机组、纵切、横切机组、彩涂线以及镀锌线的光整机，镀锡生产线、管棒材矫直机组、轧管机、联合拉拔机、大板坯及小方坯连铸机电炉等产品。</w:t>
            </w:r>
          </w:p>
          <w:p>
            <w:pPr>
              <w:spacing w:line="360" w:lineRule="auto"/>
              <w:ind w:firstLine="420" w:firstLineChars="200"/>
              <w:jc w:val="left"/>
              <w:rPr>
                <w:rFonts w:hint="eastAsia"/>
                <w:lang w:val="en-US" w:eastAsia="zh-CN"/>
              </w:rPr>
            </w:pPr>
            <w:r>
              <w:rPr>
                <w:rFonts w:hint="eastAsia"/>
                <w:lang w:val="en-US" w:eastAsia="zh-CN"/>
              </w:rPr>
              <w:t>公司开发的数字化油田站控系统已在中石油采油生产领域得到广泛应用。其中，高精度板带拉弯矫直机组，铜板带热轧机组，四辊、六辊液压冷轧机组的电控和AGC系统是国内铜板带加工行业的最具竞争力的产品，已被金田铜业、博威合金、辽阳铜业、天信集团、广州铜业，天元铜业，宁波兴业，楚江新材等著名企业相继应用。</w:t>
            </w:r>
          </w:p>
          <w:p>
            <w:pPr>
              <w:spacing w:line="360" w:lineRule="auto"/>
              <w:jc w:val="left"/>
              <w:rPr>
                <w:rFonts w:hint="eastAsia"/>
                <w:lang w:val="en-US" w:eastAsia="zh-CN"/>
              </w:rPr>
            </w:pPr>
            <w:r>
              <w:rPr>
                <w:rFonts w:hint="eastAsia"/>
                <w:lang w:val="en-US" w:eastAsia="zh-CN"/>
              </w:rPr>
              <w:t>查：申请方提供的各类资质证明：</w:t>
            </w:r>
          </w:p>
          <w:p>
            <w:pPr>
              <w:spacing w:line="360" w:lineRule="auto"/>
              <w:jc w:val="left"/>
              <w:rPr>
                <w:rFonts w:hint="eastAsia"/>
                <w:b/>
                <w:bCs/>
                <w:lang w:val="en-US" w:eastAsia="zh-CN"/>
              </w:rPr>
            </w:pPr>
            <w:r>
              <w:rPr>
                <w:rFonts w:hint="eastAsia"/>
                <w:b/>
                <w:bCs/>
                <w:lang w:val="en-US" w:eastAsia="zh-CN"/>
              </w:rPr>
              <w:t>《营业执照》：</w:t>
            </w:r>
          </w:p>
          <w:p>
            <w:pPr>
              <w:spacing w:line="360" w:lineRule="auto"/>
              <w:jc w:val="left"/>
              <w:rPr>
                <w:rFonts w:hint="default"/>
                <w:lang w:val="en-US" w:eastAsia="zh-CN"/>
              </w:rPr>
            </w:pPr>
            <w:r>
              <w:rPr>
                <w:rFonts w:hint="eastAsia"/>
              </w:rPr>
              <w:t>公司名称：</w:t>
            </w:r>
            <w:r>
              <w:rPr>
                <w:rFonts w:hint="eastAsia" w:ascii="宋体" w:hAnsi="宋体"/>
                <w:szCs w:val="21"/>
                <w:lang w:eastAsia="zh-CN"/>
              </w:rPr>
              <w:t>西安曼海特工业技术有限公司</w:t>
            </w:r>
            <w:r>
              <w:rPr>
                <w:rFonts w:hint="eastAsia"/>
              </w:rPr>
              <w:t>，公司</w:t>
            </w:r>
            <w:r>
              <w:rPr>
                <w:rFonts w:hint="eastAsia"/>
                <w:lang w:val="en-US" w:eastAsia="zh-CN"/>
              </w:rPr>
              <w:t>成立：成立</w:t>
            </w:r>
            <w:r>
              <w:rPr>
                <w:rFonts w:hint="eastAsia"/>
              </w:rPr>
              <w:t>，有效期</w:t>
            </w:r>
            <w:r>
              <w:rPr>
                <w:rFonts w:hint="eastAsia"/>
                <w:lang w:eastAsia="zh-CN"/>
              </w:rPr>
              <w:t>：</w:t>
            </w:r>
            <w:r>
              <w:rPr>
                <w:rFonts w:hint="eastAsia"/>
                <w:lang w:val="en-US" w:eastAsia="zh-CN"/>
              </w:rPr>
              <w:t>长期</w:t>
            </w:r>
          </w:p>
          <w:p>
            <w:pPr>
              <w:spacing w:line="360" w:lineRule="auto"/>
              <w:jc w:val="left"/>
            </w:pPr>
            <w:r>
              <w:rPr>
                <w:rFonts w:hint="eastAsia"/>
              </w:rPr>
              <w:t>法人代表：</w:t>
            </w:r>
            <w:r>
              <w:rPr>
                <w:rFonts w:hint="eastAsia"/>
                <w:lang w:val="en-US" w:eastAsia="zh-CN"/>
              </w:rPr>
              <w:t>宋连庆</w:t>
            </w:r>
            <w:r>
              <w:rPr>
                <w:rFonts w:hint="eastAsia"/>
              </w:rPr>
              <w:t>。</w:t>
            </w:r>
            <w:r>
              <w:rPr>
                <w:rFonts w:hint="eastAsia"/>
                <w:lang w:val="en-US" w:eastAsia="zh-CN"/>
              </w:rPr>
              <w:t>注册资金</w:t>
            </w:r>
            <w:r>
              <w:rPr>
                <w:rFonts w:hint="eastAsia"/>
                <w:szCs w:val="21"/>
                <w:lang w:val="en-US" w:eastAsia="zh-CN"/>
              </w:rPr>
              <w:t>1010.00万</w:t>
            </w:r>
            <w:r>
              <w:rPr>
                <w:rFonts w:hint="eastAsia"/>
                <w:lang w:val="en-US" w:eastAsia="zh-CN"/>
              </w:rPr>
              <w:t>。</w:t>
            </w:r>
          </w:p>
          <w:p>
            <w:pPr>
              <w:spacing w:line="360" w:lineRule="auto"/>
              <w:jc w:val="left"/>
            </w:pPr>
            <w:r>
              <w:rPr>
                <w:rFonts w:hint="eastAsia"/>
              </w:rPr>
              <w:t>注册地址：</w:t>
            </w:r>
            <w:r>
              <w:rPr>
                <w:rFonts w:hint="eastAsia" w:ascii="宋体" w:hAnsi="宋体"/>
                <w:szCs w:val="21"/>
                <w:lang w:eastAsia="zh-CN"/>
              </w:rPr>
              <w:t>西安市经开区凤城二路27号天心大厦10层1003室</w:t>
            </w:r>
          </w:p>
          <w:p>
            <w:pPr>
              <w:spacing w:line="360" w:lineRule="auto"/>
              <w:jc w:val="left"/>
              <w:rPr>
                <w:rFonts w:hint="eastAsia"/>
                <w:lang w:val="de-DE"/>
              </w:rPr>
            </w:pPr>
            <w:r>
              <w:rPr>
                <w:rFonts w:hint="eastAsia"/>
                <w:lang w:val="de-DE"/>
              </w:rPr>
              <w:t>经营地址：</w:t>
            </w:r>
            <w:r>
              <w:rPr>
                <w:rFonts w:hint="eastAsia" w:ascii="宋体" w:hAnsi="宋体"/>
                <w:szCs w:val="21"/>
                <w:lang w:eastAsia="zh-CN"/>
              </w:rPr>
              <w:t>西安市经开区凤城二路27号天心大厦10层1003室</w:t>
            </w:r>
          </w:p>
          <w:p>
            <w:pPr>
              <w:spacing w:line="360" w:lineRule="auto"/>
              <w:jc w:val="left"/>
              <w:rPr>
                <w:rFonts w:hint="eastAsia"/>
              </w:rPr>
            </w:pPr>
            <w:r>
              <w:rPr>
                <w:rFonts w:hint="eastAsia"/>
              </w:rPr>
              <w:t>经营范围：机电设备安装工程的施工；机电设备、液压设备的研发、组装、成套、调试、销售及技术咨询；计算机控制系统设备的开发、制作、销售；计算机网络工程设计、施工；电子与智能化工程的施工与设计；货物及技术的进出口业务（国家禁止或限制进出口的货物、技术除外）。（上述经营范围中涉及许可项目的，凭许可证明文件、证件在有效期内经营，未经许可不得经营）</w:t>
            </w:r>
          </w:p>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营业执照符合要求，见附件。</w:t>
            </w:r>
          </w:p>
          <w:p>
            <w:pPr>
              <w:spacing w:line="360" w:lineRule="auto"/>
              <w:jc w:val="left"/>
              <w:rPr>
                <w:rFonts w:hint="eastAsia" w:ascii="Times New Roman" w:hAnsi="Times New Roman" w:eastAsia="宋体" w:cs="Times New Roman"/>
                <w:b/>
                <w:bCs/>
                <w:color w:val="auto"/>
                <w:szCs w:val="22"/>
                <w:lang w:eastAsia="zh-CN"/>
              </w:rPr>
            </w:pPr>
            <w:r>
              <w:rPr>
                <w:rFonts w:hint="eastAsia" w:ascii="Times New Roman" w:hAnsi="Times New Roman" w:eastAsia="宋体" w:cs="Times New Roman"/>
                <w:b/>
                <w:bCs/>
                <w:color w:val="auto"/>
                <w:szCs w:val="22"/>
                <w:lang w:eastAsia="zh-CN"/>
              </w:rPr>
              <w:t>《</w:t>
            </w:r>
            <w:r>
              <w:rPr>
                <w:rFonts w:hint="eastAsia" w:ascii="Times New Roman" w:hAnsi="Times New Roman" w:eastAsia="宋体" w:cs="Times New Roman"/>
                <w:b/>
                <w:bCs/>
                <w:color w:val="auto"/>
                <w:szCs w:val="22"/>
                <w:lang w:val="en-US" w:eastAsia="zh-CN"/>
              </w:rPr>
              <w:t>安全生产许可证</w:t>
            </w:r>
            <w:r>
              <w:rPr>
                <w:rFonts w:hint="eastAsia" w:ascii="Times New Roman" w:hAnsi="Times New Roman" w:eastAsia="宋体" w:cs="Times New Roman"/>
                <w:b/>
                <w:bCs/>
                <w:color w:val="auto"/>
                <w:szCs w:val="22"/>
                <w:lang w:eastAsia="zh-CN"/>
              </w:rPr>
              <w:t>》</w:t>
            </w:r>
          </w:p>
          <w:p>
            <w:pPr>
              <w:pStyle w:val="2"/>
              <w:rPr>
                <w:rFonts w:hint="default"/>
                <w:color w:val="auto"/>
                <w:szCs w:val="21"/>
                <w:lang w:val="en-US" w:eastAsia="zh-CN"/>
              </w:rPr>
            </w:pPr>
            <w:r>
              <w:rPr>
                <w:rFonts w:hint="eastAsia" w:ascii="Times New Roman" w:hAnsi="Times New Roman" w:eastAsia="宋体" w:cs="Times New Roman"/>
                <w:b/>
                <w:bCs/>
                <w:color w:val="auto"/>
                <w:szCs w:val="22"/>
                <w:lang w:val="en-US" w:eastAsia="zh-CN"/>
              </w:rPr>
              <w:t>编号：</w:t>
            </w:r>
            <w:r>
              <w:rPr>
                <w:rFonts w:hint="eastAsia"/>
                <w:color w:val="auto"/>
                <w:szCs w:val="21"/>
                <w:lang w:val="en-US" w:eastAsia="zh-CN"/>
              </w:rPr>
              <w:t>(陕)JZ安许证字[2014]011251</w:t>
            </w:r>
          </w:p>
          <w:p>
            <w:pPr>
              <w:pStyle w:val="2"/>
              <w:rPr>
                <w:rFonts w:hint="default"/>
                <w:color w:val="auto"/>
                <w:szCs w:val="21"/>
                <w:lang w:val="en-US" w:eastAsia="zh-CN"/>
              </w:rPr>
            </w:pPr>
            <w:r>
              <w:rPr>
                <w:rFonts w:hint="eastAsia"/>
                <w:color w:val="auto"/>
                <w:szCs w:val="21"/>
                <w:lang w:val="en-US" w:eastAsia="zh-CN"/>
              </w:rPr>
              <w:t>许可范围：建筑施工           有效期：2023年09月24日</w:t>
            </w:r>
          </w:p>
          <w:p>
            <w:pPr>
              <w:pStyle w:val="2"/>
              <w:rPr>
                <w:rFonts w:hint="default"/>
                <w:b/>
                <w:bCs w:val="0"/>
                <w:color w:val="auto"/>
                <w:szCs w:val="21"/>
                <w:lang w:val="en-US" w:eastAsia="zh-CN"/>
              </w:rPr>
            </w:pPr>
            <w:r>
              <w:rPr>
                <w:rFonts w:hint="eastAsia"/>
                <w:b/>
                <w:bCs w:val="0"/>
                <w:color w:val="auto"/>
                <w:szCs w:val="21"/>
                <w:lang w:val="en-US" w:eastAsia="zh-CN"/>
              </w:rPr>
              <w:t>《建筑业企业资质证书》</w:t>
            </w:r>
          </w:p>
          <w:p>
            <w:pPr>
              <w:pStyle w:val="2"/>
              <w:rPr>
                <w:rFonts w:hint="default"/>
                <w:color w:val="auto"/>
                <w:szCs w:val="21"/>
                <w:lang w:val="en-US" w:eastAsia="zh-CN"/>
              </w:rPr>
            </w:pPr>
            <w:r>
              <w:rPr>
                <w:rFonts w:hint="eastAsia"/>
                <w:color w:val="auto"/>
                <w:szCs w:val="21"/>
                <w:lang w:val="en-US" w:eastAsia="zh-CN"/>
              </w:rPr>
              <w:t>编号：D261060313   有效期：2022.12.24</w:t>
            </w:r>
          </w:p>
          <w:p>
            <w:pPr>
              <w:pStyle w:val="2"/>
              <w:rPr>
                <w:rFonts w:hint="eastAsia"/>
                <w:color w:val="auto"/>
                <w:szCs w:val="21"/>
                <w:lang w:val="en-US" w:eastAsia="zh-CN"/>
              </w:rPr>
            </w:pPr>
            <w:r>
              <w:rPr>
                <w:rFonts w:hint="eastAsia"/>
                <w:color w:val="auto"/>
                <w:szCs w:val="21"/>
                <w:lang w:val="en-US" w:eastAsia="zh-CN"/>
              </w:rPr>
              <w:t>资质类别及等级：电子与智能化工程专业承包二级</w:t>
            </w:r>
          </w:p>
          <w:p>
            <w:pPr>
              <w:pStyle w:val="2"/>
              <w:rPr>
                <w:rFonts w:hint="default"/>
                <w:szCs w:val="21"/>
                <w:lang w:val="en-US" w:eastAsia="zh-CN"/>
              </w:rPr>
            </w:pPr>
            <w:r>
              <w:rPr>
                <w:rFonts w:hint="eastAsia"/>
                <w:szCs w:val="21"/>
                <w:lang w:val="en-US" w:eastAsia="zh-CN"/>
              </w:rPr>
              <w:t>资质满足认证范围的要求。</w:t>
            </w:r>
          </w:p>
        </w:tc>
        <w:tc>
          <w:tcPr>
            <w:tcW w:w="709" w:type="dxa"/>
            <w:vAlign w:val="center"/>
          </w:tcPr>
          <w:p>
            <w:pPr>
              <w:widowControl/>
              <w:jc w:val="left"/>
              <w:rPr>
                <w:rFonts w:hint="default" w:eastAsia="宋体"/>
                <w:szCs w:val="21"/>
                <w:lang w:val="en-US" w:eastAsia="zh-CN"/>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ascii="宋体" w:hAnsi="宋体"/>
                <w:szCs w:val="21"/>
              </w:rPr>
              <w:t>近两年与质量、环境和职业健康安全管理体系等方面是否有违规被处罚、媒体通报情况；</w:t>
            </w:r>
          </w:p>
        </w:tc>
        <w:tc>
          <w:tcPr>
            <w:tcW w:w="960" w:type="dxa"/>
            <w:vAlign w:val="center"/>
          </w:tcPr>
          <w:p>
            <w:pPr>
              <w:widowControl/>
              <w:jc w:val="left"/>
              <w:rPr>
                <w:szCs w:val="21"/>
              </w:rPr>
            </w:pPr>
          </w:p>
        </w:tc>
        <w:tc>
          <w:tcPr>
            <w:tcW w:w="10880" w:type="dxa"/>
            <w:vAlign w:val="center"/>
          </w:tcPr>
          <w:p>
            <w:pPr>
              <w:rPr>
                <w:szCs w:val="21"/>
              </w:rPr>
            </w:pPr>
            <w:r>
              <w:rPr>
                <w:rFonts w:hint="eastAsia" w:ascii="宋体" w:hAnsi="宋体"/>
                <w:szCs w:val="21"/>
              </w:rPr>
              <w:t>审核过程中确认，近年来，该企业无质量、环境和职业健康安全管理体系等方面违规被处罚、媒体通报情况。</w:t>
            </w:r>
          </w:p>
          <w:p>
            <w:pPr>
              <w:pStyle w:val="2"/>
              <w:rPr>
                <w:rFonts w:hint="eastAsia"/>
                <w:szCs w:val="21"/>
                <w:lang w:val="en-US" w:eastAsia="zh-CN"/>
              </w:rPr>
            </w:pPr>
            <w:r>
              <w:rPr>
                <w:rFonts w:hint="eastAsia" w:ascii="宋体" w:hAnsi="宋体"/>
                <w:szCs w:val="21"/>
              </w:rPr>
              <w:t>内部沟通良好、</w:t>
            </w:r>
            <w:r>
              <w:rPr>
                <w:rFonts w:hint="eastAsia"/>
                <w:szCs w:val="21"/>
              </w:rPr>
              <w:t>外部提供过程的管理、</w:t>
            </w:r>
            <w:r>
              <w:rPr>
                <w:rFonts w:hint="eastAsia" w:ascii="宋体" w:hAnsi="宋体"/>
                <w:szCs w:val="21"/>
              </w:rPr>
              <w:t>顾客沟通及客户满意及员工及相关方的报怨、投诉的处理情况，二阶段详查</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2160" w:type="dxa"/>
            <w:vAlign w:val="center"/>
          </w:tcPr>
          <w:p>
            <w:pPr>
              <w:spacing w:line="400" w:lineRule="exact"/>
              <w:rPr>
                <w:szCs w:val="21"/>
              </w:rPr>
            </w:pPr>
            <w:r>
              <w:rPr>
                <w:rFonts w:hint="eastAsia"/>
                <w:szCs w:val="21"/>
              </w:rPr>
              <w:t>管理体系运行起始日</w:t>
            </w:r>
          </w:p>
          <w:p>
            <w:pPr>
              <w:spacing w:line="400" w:lineRule="exact"/>
              <w:rPr>
                <w:color w:val="FF0000"/>
                <w:szCs w:val="21"/>
              </w:rPr>
            </w:pPr>
            <w:r>
              <w:rPr>
                <w:rFonts w:hint="eastAsia"/>
                <w:szCs w:val="21"/>
              </w:rPr>
              <w:t>确认组织实际与管理体系文件描述的一致性</w:t>
            </w:r>
          </w:p>
          <w:p>
            <w:pPr>
              <w:spacing w:line="400" w:lineRule="exact"/>
              <w:rPr>
                <w:rFonts w:hint="eastAsia"/>
                <w:szCs w:val="21"/>
              </w:rPr>
            </w:pPr>
            <w:r>
              <w:rPr>
                <w:rFonts w:hint="eastAsia"/>
                <w:szCs w:val="21"/>
              </w:rPr>
              <w:t>组织机构（如部门设置和负责人，服务过程）</w:t>
            </w:r>
          </w:p>
        </w:tc>
        <w:tc>
          <w:tcPr>
            <w:tcW w:w="960" w:type="dxa"/>
            <w:vAlign w:val="center"/>
          </w:tcPr>
          <w:p>
            <w:pPr>
              <w:widowControl/>
              <w:jc w:val="left"/>
              <w:rPr>
                <w:szCs w:val="21"/>
              </w:rPr>
            </w:pPr>
          </w:p>
        </w:tc>
        <w:tc>
          <w:tcPr>
            <w:tcW w:w="10880" w:type="dxa"/>
            <w:vAlign w:val="center"/>
          </w:tcPr>
          <w:p>
            <w:pPr>
              <w:spacing w:line="360" w:lineRule="auto"/>
              <w:jc w:val="left"/>
              <w:rPr>
                <w:rFonts w:hint="eastAsia" w:ascii="宋体" w:hAnsi="宋体"/>
                <w:szCs w:val="21"/>
              </w:rPr>
            </w:pPr>
            <w:r>
              <w:rPr>
                <w:rFonts w:hint="eastAsia" w:ascii="宋体" w:hAnsi="宋体"/>
                <w:szCs w:val="21"/>
              </w:rPr>
              <w:t>质量环境职业健康安全管理体系</w:t>
            </w:r>
            <w:r>
              <w:rPr>
                <w:rFonts w:hint="eastAsia" w:ascii="宋体" w:hAnsi="宋体" w:eastAsia="宋体" w:cs="Times New Roman"/>
                <w:szCs w:val="21"/>
              </w:rPr>
              <w:t>于2020年9月1日建立</w:t>
            </w:r>
            <w:r>
              <w:rPr>
                <w:rFonts w:hint="eastAsia" w:ascii="宋体" w:hAnsi="宋体"/>
                <w:szCs w:val="21"/>
              </w:rPr>
              <w:t>并正式实施。</w:t>
            </w:r>
          </w:p>
          <w:p>
            <w:pPr>
              <w:spacing w:line="360" w:lineRule="auto"/>
              <w:rPr>
                <w:rFonts w:hint="default" w:ascii="宋体" w:hAnsi="宋体" w:eastAsia="宋体"/>
                <w:szCs w:val="21"/>
                <w:lang w:val="en-US" w:eastAsia="zh-CN"/>
              </w:rPr>
            </w:pPr>
            <w:r>
              <w:rPr>
                <w:rFonts w:hint="eastAsia"/>
              </w:rPr>
              <w:t>最管理者，</w:t>
            </w:r>
            <w:r>
              <w:rPr>
                <w:rFonts w:hint="eastAsia"/>
                <w:lang w:val="en-US" w:eastAsia="zh-CN"/>
              </w:rPr>
              <w:t>总经理：祁佰忱  管代：马钰</w:t>
            </w:r>
            <w:r>
              <w:rPr>
                <w:rFonts w:hint="eastAsia"/>
              </w:rPr>
              <w:t>，职业健康安全事务代表</w:t>
            </w:r>
            <w:r>
              <w:rPr>
                <w:rFonts w:hint="eastAsia"/>
                <w:lang w:eastAsia="zh-CN"/>
              </w:rPr>
              <w:t>： 李佩佩</w:t>
            </w:r>
          </w:p>
          <w:p>
            <w:pPr>
              <w:spacing w:line="360" w:lineRule="auto"/>
              <w:jc w:val="left"/>
              <w:rPr>
                <w:rFonts w:hint="eastAsia" w:ascii="宋体" w:hAnsi="宋体"/>
                <w:szCs w:val="21"/>
              </w:rPr>
            </w:pPr>
            <w:r>
              <w:rPr>
                <w:rFonts w:hint="eastAsia" w:ascii="宋体" w:hAnsi="宋体"/>
                <w:szCs w:val="21"/>
              </w:rPr>
              <w:t>组织机构：</w:t>
            </w:r>
            <w:r>
              <w:rPr>
                <w:rFonts w:hint="eastAsia" w:ascii="宋体" w:hAnsi="宋体" w:cs="Times New Roman"/>
                <w:sz w:val="21"/>
                <w:szCs w:val="21"/>
              </w:rPr>
              <w:t>管理层、</w:t>
            </w:r>
            <w:r>
              <w:rPr>
                <w:rFonts w:hint="eastAsia" w:ascii="宋体" w:hAnsi="宋体" w:cs="Times New Roman"/>
                <w:sz w:val="21"/>
                <w:szCs w:val="21"/>
                <w:lang w:val="en-US" w:eastAsia="zh-CN"/>
              </w:rPr>
              <w:t>行政</w:t>
            </w:r>
            <w:r>
              <w:rPr>
                <w:rFonts w:hint="eastAsia" w:ascii="宋体" w:hAnsi="宋体" w:cs="Times New Roman"/>
                <w:sz w:val="21"/>
                <w:szCs w:val="21"/>
              </w:rPr>
              <w:t>部、</w:t>
            </w:r>
            <w:r>
              <w:rPr>
                <w:rFonts w:hint="eastAsia" w:ascii="宋体" w:hAnsi="宋体" w:cs="Times New Roman"/>
                <w:sz w:val="21"/>
                <w:szCs w:val="21"/>
                <w:lang w:val="en-US" w:eastAsia="zh-CN"/>
              </w:rPr>
              <w:t>供销部</w:t>
            </w:r>
            <w:r>
              <w:rPr>
                <w:rFonts w:hint="eastAsia" w:ascii="宋体" w:hAnsi="宋体" w:cs="Times New Roman"/>
                <w:sz w:val="21"/>
                <w:szCs w:val="21"/>
              </w:rPr>
              <w:t>、</w:t>
            </w:r>
            <w:r>
              <w:rPr>
                <w:rFonts w:hint="eastAsia" w:ascii="宋体" w:hAnsi="宋体" w:cs="Times New Roman"/>
                <w:sz w:val="21"/>
                <w:szCs w:val="21"/>
                <w:lang w:val="en-US" w:eastAsia="zh-CN"/>
              </w:rPr>
              <w:t>工程</w:t>
            </w:r>
            <w:r>
              <w:rPr>
                <w:rFonts w:hint="eastAsia" w:ascii="宋体" w:hAnsi="宋体" w:cs="Times New Roman"/>
                <w:sz w:val="21"/>
                <w:szCs w:val="21"/>
              </w:rPr>
              <w:t>部</w:t>
            </w:r>
            <w:r>
              <w:rPr>
                <w:rFonts w:hint="eastAsia" w:ascii="宋体" w:hAnsi="宋体"/>
                <w:szCs w:val="21"/>
              </w:rPr>
              <w:t>。</w:t>
            </w:r>
          </w:p>
          <w:p>
            <w:pPr>
              <w:spacing w:line="360" w:lineRule="auto"/>
              <w:jc w:val="left"/>
              <w:rPr>
                <w:color w:val="000000"/>
                <w:szCs w:val="21"/>
              </w:rPr>
            </w:pPr>
            <w:r>
              <w:rPr>
                <w:rFonts w:hint="eastAsia" w:ascii="宋体" w:hAnsi="宋体"/>
                <w:szCs w:val="21"/>
              </w:rPr>
              <w:t>组织</w:t>
            </w:r>
            <w:r>
              <w:rPr>
                <w:rFonts w:hint="eastAsia" w:ascii="宋体" w:hAnsi="宋体"/>
                <w:szCs w:val="21"/>
                <w:lang w:val="en-US" w:eastAsia="zh-CN"/>
              </w:rPr>
              <w:t>机构</w:t>
            </w:r>
            <w:r>
              <w:rPr>
                <w:rFonts w:hint="eastAsia" w:ascii="宋体" w:hAnsi="宋体"/>
                <w:szCs w:val="21"/>
              </w:rPr>
              <w:t>实际与管理体系文件描述的</w:t>
            </w:r>
            <w:r>
              <w:rPr>
                <w:rFonts w:hint="eastAsia" w:ascii="宋体" w:hAnsi="宋体"/>
                <w:szCs w:val="21"/>
                <w:lang w:val="en-US" w:eastAsia="zh-CN"/>
              </w:rPr>
              <w:t>不</w:t>
            </w:r>
            <w:r>
              <w:rPr>
                <w:rFonts w:hint="eastAsia" w:ascii="宋体" w:hAnsi="宋体"/>
                <w:szCs w:val="21"/>
              </w:rPr>
              <w:t>一致性</w:t>
            </w:r>
            <w:r>
              <w:rPr>
                <w:rFonts w:hint="eastAsia" w:ascii="宋体" w:hAnsi="宋体"/>
                <w:szCs w:val="21"/>
                <w:lang w:eastAsia="zh-CN"/>
              </w:rPr>
              <w:t>，</w:t>
            </w:r>
            <w:r>
              <w:rPr>
                <w:rFonts w:hint="eastAsia" w:ascii="宋体" w:hAnsi="宋体"/>
                <w:szCs w:val="21"/>
                <w:lang w:val="en-US" w:eastAsia="zh-CN"/>
              </w:rPr>
              <w:t>已改正。</w:t>
            </w:r>
          </w:p>
          <w:p>
            <w:pPr>
              <w:spacing w:line="360" w:lineRule="auto"/>
              <w:jc w:val="left"/>
              <w:rPr>
                <w:rFonts w:hint="eastAsia" w:ascii="宋体" w:hAnsi="宋体" w:eastAsia="宋体" w:cs="Times New Roman"/>
                <w:szCs w:val="21"/>
              </w:rPr>
            </w:pP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2160" w:type="dxa"/>
            <w:vAlign w:val="center"/>
          </w:tcPr>
          <w:p>
            <w:pPr>
              <w:rPr>
                <w:szCs w:val="21"/>
              </w:rPr>
            </w:pPr>
            <w:r>
              <w:rPr>
                <w:rFonts w:hint="eastAsia" w:ascii="宋体" w:hAnsi="宋体"/>
                <w:szCs w:val="21"/>
              </w:rPr>
              <w:t>审核范围的确认</w:t>
            </w:r>
          </w:p>
          <w:p>
            <w:pPr>
              <w:spacing w:line="400" w:lineRule="exact"/>
              <w:rPr>
                <w:rFonts w:hint="eastAsia" w:ascii="宋体" w:hAnsi="宋体"/>
                <w:szCs w:val="21"/>
              </w:rPr>
            </w:pPr>
          </w:p>
        </w:tc>
        <w:tc>
          <w:tcPr>
            <w:tcW w:w="960" w:type="dxa"/>
            <w:vAlign w:val="center"/>
          </w:tcPr>
          <w:p>
            <w:pPr>
              <w:widowControl/>
              <w:jc w:val="left"/>
              <w:rPr>
                <w:szCs w:val="21"/>
              </w:rPr>
            </w:pPr>
          </w:p>
        </w:tc>
        <w:tc>
          <w:tcPr>
            <w:tcW w:w="10880" w:type="dxa"/>
            <w:vAlign w:val="center"/>
          </w:tcPr>
          <w:p>
            <w:pPr>
              <w:spacing w:line="360" w:lineRule="auto"/>
              <w:jc w:val="left"/>
              <w:rPr>
                <w:rFonts w:hint="eastAsia"/>
              </w:rPr>
            </w:pPr>
            <w:r>
              <w:rPr>
                <w:rFonts w:hint="eastAsia"/>
              </w:rPr>
              <w:t>现场确认范围</w:t>
            </w:r>
          </w:p>
          <w:p>
            <w:pPr>
              <w:spacing w:line="360" w:lineRule="auto"/>
              <w:jc w:val="left"/>
              <w:rPr>
                <w:rFonts w:hint="eastAsia" w:ascii="Times New Roman" w:hAnsi="Times New Roman" w:eastAsia="宋体" w:cs="Times New Roman"/>
                <w:szCs w:val="22"/>
              </w:rPr>
            </w:pPr>
            <w:bookmarkStart w:id="0" w:name="审核范围"/>
            <w:r>
              <w:rPr>
                <w:rFonts w:hint="eastAsia" w:ascii="Times New Roman" w:hAnsi="Times New Roman" w:eastAsia="宋体" w:cs="Times New Roman"/>
                <w:szCs w:val="22"/>
              </w:rPr>
              <w:t>Q：</w:t>
            </w:r>
            <w:r>
              <w:rPr>
                <w:rFonts w:hint="eastAsia" w:ascii="Times New Roman" w:hAnsi="Times New Roman" w:eastAsia="宋体" w:cs="Times New Roman"/>
                <w:szCs w:val="22"/>
                <w:lang w:eastAsia="zh-CN"/>
              </w:rPr>
              <w:t>冶金设备控制装置的研发及组装;资质范围内的电子与智能化工程的施工</w:t>
            </w:r>
          </w:p>
          <w:p>
            <w:pPr>
              <w:spacing w:line="360" w:lineRule="auto"/>
              <w:jc w:val="left"/>
              <w:rPr>
                <w:rFonts w:hint="eastAsia" w:ascii="Times New Roman" w:hAnsi="Times New Roman" w:eastAsia="宋体" w:cs="Times New Roman"/>
                <w:szCs w:val="22"/>
              </w:rPr>
            </w:pPr>
            <w:r>
              <w:rPr>
                <w:rFonts w:hint="eastAsia" w:ascii="Times New Roman" w:hAnsi="Times New Roman" w:eastAsia="宋体" w:cs="Times New Roman"/>
                <w:szCs w:val="22"/>
              </w:rPr>
              <w:t>E：冶金设备控制装置的研发及组装;资质范围内的电子与智能化工程的施工所涉及场所的相关环境管理活动</w:t>
            </w:r>
          </w:p>
          <w:p>
            <w:pPr>
              <w:spacing w:line="360" w:lineRule="auto"/>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rPr>
              <w:t>O：冶金设备控制装置的研发及组装;资质范围内的电子与智能化工程的施工所涉及场所的相关职业健康安全管理活动</w:t>
            </w:r>
            <w:bookmarkEnd w:id="0"/>
          </w:p>
          <w:p>
            <w:pPr>
              <w:spacing w:line="360" w:lineRule="auto"/>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无删减。</w:t>
            </w:r>
          </w:p>
          <w:p>
            <w:pPr>
              <w:pStyle w:val="2"/>
              <w:rPr>
                <w:rFonts w:hint="default"/>
                <w:lang w:val="en-US" w:eastAsia="zh-CN"/>
              </w:rPr>
            </w:pPr>
            <w:r>
              <w:rPr>
                <w:rFonts w:hint="eastAsia"/>
                <w:color w:val="auto"/>
                <w:lang w:val="en-US" w:eastAsia="zh-CN"/>
              </w:rPr>
              <w:t>有外包：机加工</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szCs w:val="21"/>
              </w:rPr>
            </w:pPr>
            <w:r>
              <w:rPr>
                <w:rFonts w:hint="eastAsia"/>
                <w:szCs w:val="21"/>
              </w:rPr>
              <w:t>风险和机遇的识别、企业内外部环境分析及相关方的需求和知识</w:t>
            </w:r>
          </w:p>
        </w:tc>
        <w:tc>
          <w:tcPr>
            <w:tcW w:w="960" w:type="dxa"/>
            <w:vAlign w:val="center"/>
          </w:tcPr>
          <w:p>
            <w:pPr>
              <w:widowControl/>
              <w:spacing w:line="360" w:lineRule="auto"/>
              <w:jc w:val="left"/>
              <w:rPr>
                <w:szCs w:val="21"/>
              </w:rPr>
            </w:pPr>
          </w:p>
        </w:tc>
        <w:tc>
          <w:tcPr>
            <w:tcW w:w="10880" w:type="dxa"/>
            <w:vAlign w:val="center"/>
          </w:tcPr>
          <w:p>
            <w:pPr>
              <w:spacing w:line="360" w:lineRule="auto"/>
              <w:rPr>
                <w:szCs w:val="21"/>
              </w:rPr>
            </w:pPr>
            <w:r>
              <w:rPr>
                <w:rFonts w:hint="eastAsia"/>
                <w:szCs w:val="21"/>
              </w:rPr>
              <w:t>公司制定管理手册中，明确风险和机遇事件的识别方法</w:t>
            </w:r>
            <w:r>
              <w:rPr>
                <w:szCs w:val="21"/>
              </w:rPr>
              <w:t>/</w:t>
            </w:r>
            <w:r>
              <w:rPr>
                <w:rFonts w:hint="eastAsia"/>
                <w:szCs w:val="21"/>
              </w:rPr>
              <w:t>途径、风险和机遇事件的评估方式、制定主要风险和机遇事件的应对措施的要求、评价这些措施有效性的方法。</w:t>
            </w:r>
          </w:p>
          <w:p>
            <w:pPr>
              <w:spacing w:line="360" w:lineRule="auto"/>
              <w:ind w:firstLine="420" w:firstLineChars="200"/>
              <w:rPr>
                <w:rFonts w:hint="eastAsia"/>
                <w:szCs w:val="21"/>
                <w:lang w:val="en-US" w:eastAsia="zh-CN"/>
              </w:rPr>
            </w:pPr>
            <w:r>
              <w:rPr>
                <w:rFonts w:hint="eastAsia"/>
                <w:szCs w:val="21"/>
              </w:rPr>
              <w:t>制定了</w:t>
            </w:r>
            <w:r>
              <w:rPr>
                <w:rFonts w:hint="eastAsia"/>
                <w:szCs w:val="21"/>
                <w:lang w:eastAsia="zh-CN"/>
              </w:rPr>
              <w:t>“</w:t>
            </w:r>
            <w:r>
              <w:rPr>
                <w:rFonts w:hint="eastAsia"/>
                <w:szCs w:val="21"/>
              </w:rPr>
              <w:t>风险和机遇分析、评价和应对措施的确定程序</w:t>
            </w:r>
            <w:r>
              <w:rPr>
                <w:rFonts w:hint="eastAsia"/>
                <w:szCs w:val="21"/>
                <w:lang w:eastAsia="zh-CN"/>
              </w:rPr>
              <w:t>”</w:t>
            </w:r>
            <w:r>
              <w:rPr>
                <w:rFonts w:hint="eastAsia"/>
                <w:szCs w:val="21"/>
              </w:rPr>
              <w:t>，提供“风险与机遇评价与应对策划表”，按照</w:t>
            </w:r>
            <w:r>
              <w:rPr>
                <w:rFonts w:hint="eastAsia"/>
                <w:szCs w:val="21"/>
                <w:lang w:val="en-US" w:eastAsia="zh-CN"/>
              </w:rPr>
              <w:t>施工、</w:t>
            </w:r>
            <w:r>
              <w:rPr>
                <w:rFonts w:hint="eastAsia"/>
                <w:szCs w:val="21"/>
              </w:rPr>
              <w:t>销售、采购、支持过程</w:t>
            </w:r>
            <w:r>
              <w:rPr>
                <w:szCs w:val="21"/>
              </w:rPr>
              <w:t>/</w:t>
            </w:r>
            <w:r>
              <w:rPr>
                <w:rFonts w:hint="eastAsia"/>
                <w:szCs w:val="21"/>
              </w:rPr>
              <w:t>部门对风险和机遇进行了评价识别，并制定应对措施。二阶段详查。</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szCs w:val="21"/>
              </w:rPr>
            </w:pPr>
            <w:r>
              <w:rPr>
                <w:rFonts w:hint="eastAsia"/>
                <w:szCs w:val="21"/>
              </w:rPr>
              <w:t>相关法律法规</w:t>
            </w:r>
          </w:p>
          <w:p>
            <w:pPr>
              <w:pStyle w:val="2"/>
              <w:rPr>
                <w:rFonts w:hint="default" w:eastAsia="宋体"/>
                <w:lang w:val="en-US" w:eastAsia="zh-CN"/>
              </w:rPr>
            </w:pPr>
            <w:r>
              <w:rPr>
                <w:rFonts w:hint="eastAsia"/>
                <w:szCs w:val="21"/>
                <w:lang w:val="en-US" w:eastAsia="zh-CN"/>
              </w:rPr>
              <w:t>合规性评价</w:t>
            </w:r>
          </w:p>
          <w:p>
            <w:pPr>
              <w:spacing w:line="360" w:lineRule="auto"/>
              <w:rPr>
                <w:rFonts w:hint="eastAsia"/>
                <w:szCs w:val="21"/>
              </w:rPr>
            </w:pPr>
          </w:p>
        </w:tc>
        <w:tc>
          <w:tcPr>
            <w:tcW w:w="960" w:type="dxa"/>
            <w:vAlign w:val="center"/>
          </w:tcPr>
          <w:p>
            <w:pPr>
              <w:widowControl/>
              <w:spacing w:line="360" w:lineRule="auto"/>
              <w:jc w:val="left"/>
              <w:rPr>
                <w:szCs w:val="21"/>
              </w:rPr>
            </w:pPr>
          </w:p>
        </w:tc>
        <w:tc>
          <w:tcPr>
            <w:tcW w:w="10880" w:type="dxa"/>
            <w:vAlign w:val="center"/>
          </w:tcPr>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行政部</w:t>
            </w:r>
            <w:r>
              <w:rPr>
                <w:rFonts w:hint="eastAsia" w:ascii="Times New Roman" w:hAnsi="Times New Roman" w:eastAsia="宋体" w:cs="Times New Roman"/>
                <w:szCs w:val="21"/>
              </w:rPr>
              <w:t>负责法律法规的收集、更新；查有《法律、法规及其他要求清单》，对本公司环境和职业健康安全管理体系适用的法律法规和当地政府、行业要求进行了识别，包括环境质量标准、排放标准、职业健康安全卫生标准等。收集技术标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施工管理规范、施工技术规程、检测验收规范，职业健康安全法规、环保施工标准……</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有《合规义务管理制度》，规定明确基本合理。</w:t>
            </w:r>
            <w:r>
              <w:rPr>
                <w:rFonts w:hint="eastAsia" w:ascii="Times New Roman" w:hAnsi="Times New Roman" w:eastAsia="宋体" w:cs="Times New Roman"/>
                <w:szCs w:val="21"/>
                <w:lang w:eastAsia="zh-CN"/>
              </w:rPr>
              <w:t>综合部</w:t>
            </w:r>
            <w:r>
              <w:rPr>
                <w:rFonts w:hint="eastAsia" w:ascii="Times New Roman" w:hAnsi="Times New Roman" w:eastAsia="宋体" w:cs="Times New Roman"/>
                <w:szCs w:val="21"/>
              </w:rPr>
              <w:t>组织对公司环境安全健康管理活动，遵守相关法律法规和其他要求情况进行评价，评价结果符合相关法律法规和其他要求，无违法违规情况并保持有合规性评价记录。</w:t>
            </w:r>
          </w:p>
          <w:p>
            <w:pPr>
              <w:spacing w:line="360" w:lineRule="auto"/>
              <w:ind w:firstLine="420" w:firstLineChars="200"/>
              <w:rPr>
                <w:rFonts w:hint="eastAsia"/>
                <w:szCs w:val="21"/>
              </w:rPr>
            </w:pPr>
            <w:r>
              <w:rPr>
                <w:rFonts w:hint="eastAsia" w:ascii="Times New Roman" w:hAnsi="Times New Roman" w:eastAsia="宋体" w:cs="Times New Roman"/>
                <w:szCs w:val="21"/>
              </w:rPr>
              <w:t>见《合规性评价报告》，详见二阶段。</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szCs w:val="21"/>
              </w:rPr>
            </w:pPr>
            <w:r>
              <w:rPr>
                <w:rFonts w:hint="eastAsia"/>
                <w:szCs w:val="21"/>
              </w:rPr>
              <w:t>环评报告及环评验收</w:t>
            </w:r>
          </w:p>
        </w:tc>
        <w:tc>
          <w:tcPr>
            <w:tcW w:w="960" w:type="dxa"/>
            <w:vAlign w:val="center"/>
          </w:tcPr>
          <w:p>
            <w:pPr>
              <w:widowControl/>
              <w:spacing w:line="360" w:lineRule="auto"/>
              <w:jc w:val="left"/>
              <w:rPr>
                <w:szCs w:val="21"/>
              </w:rPr>
            </w:pPr>
          </w:p>
        </w:tc>
        <w:tc>
          <w:tcPr>
            <w:tcW w:w="10880" w:type="dxa"/>
            <w:vAlign w:val="center"/>
          </w:tcPr>
          <w:p>
            <w:pPr>
              <w:pStyle w:val="2"/>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不需要</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产品实现主要工艺</w:t>
            </w:r>
          </w:p>
          <w:p>
            <w:pPr>
              <w:spacing w:line="360" w:lineRule="auto"/>
              <w:rPr>
                <w:rFonts w:hint="eastAsia"/>
                <w:szCs w:val="21"/>
              </w:rPr>
            </w:pPr>
          </w:p>
        </w:tc>
        <w:tc>
          <w:tcPr>
            <w:tcW w:w="960" w:type="dxa"/>
            <w:vAlign w:val="center"/>
          </w:tcPr>
          <w:p>
            <w:pPr>
              <w:widowControl/>
              <w:spacing w:line="360" w:lineRule="auto"/>
              <w:jc w:val="left"/>
              <w:rPr>
                <w:szCs w:val="21"/>
              </w:rPr>
            </w:pPr>
          </w:p>
        </w:tc>
        <w:tc>
          <w:tcPr>
            <w:tcW w:w="10880" w:type="dxa"/>
            <w:vAlign w:val="center"/>
          </w:tcPr>
          <w:p>
            <w:pPr>
              <w:pStyle w:val="2"/>
              <w:spacing w:line="360" w:lineRule="auto"/>
              <w:rPr>
                <w:rFonts w:hint="default"/>
                <w:szCs w:val="22"/>
                <w:lang w:val="en-US" w:eastAsia="zh-CN"/>
              </w:rPr>
            </w:pPr>
            <w:r>
              <w:rPr>
                <w:rFonts w:hint="eastAsia"/>
                <w:szCs w:val="22"/>
                <w:lang w:val="en-US" w:eastAsia="zh-CN"/>
              </w:rPr>
              <w:t>研发、施工流程</w:t>
            </w:r>
          </w:p>
          <w:p>
            <w:pPr>
              <w:pStyle w:val="2"/>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施工流程：</w:t>
            </w:r>
          </w:p>
          <w:p>
            <w:pPr>
              <w:pStyle w:val="2"/>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开工报告—设备部件入场—成套/组装—安装—试验、检验—交付</w:t>
            </w:r>
          </w:p>
          <w:p>
            <w:pPr>
              <w:pStyle w:val="2"/>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设计流程：</w:t>
            </w:r>
          </w:p>
          <w:p>
            <w:pPr>
              <w:pStyle w:val="2"/>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顾客需求—设计方案—部件采购—验证—交付</w:t>
            </w:r>
          </w:p>
          <w:p>
            <w:pPr>
              <w:pStyle w:val="2"/>
              <w:spacing w:line="360" w:lineRule="auto"/>
              <w:rPr>
                <w:rFonts w:hint="eastAsia"/>
              </w:rPr>
            </w:pPr>
            <w:r>
              <w:rPr>
                <w:rFonts w:hint="eastAsia" w:ascii="Times New Roman" w:hAnsi="Times New Roman" w:eastAsia="宋体" w:cs="Times New Roman"/>
                <w:szCs w:val="22"/>
                <w:lang w:val="en-US" w:eastAsia="zh-CN"/>
              </w:rPr>
              <w:t>管控措施：见施工方案、技术措施</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方针、目标、指标和方案情况</w:t>
            </w:r>
          </w:p>
          <w:p>
            <w:pPr>
              <w:spacing w:line="360" w:lineRule="auto"/>
              <w:rPr>
                <w:rFonts w:hint="eastAsia"/>
                <w:szCs w:val="21"/>
              </w:rPr>
            </w:pPr>
          </w:p>
        </w:tc>
        <w:tc>
          <w:tcPr>
            <w:tcW w:w="960" w:type="dxa"/>
            <w:vAlign w:val="center"/>
          </w:tcPr>
          <w:p>
            <w:pPr>
              <w:widowControl/>
              <w:spacing w:line="360" w:lineRule="auto"/>
              <w:jc w:val="left"/>
              <w:rPr>
                <w:szCs w:val="21"/>
              </w:rPr>
            </w:pPr>
          </w:p>
        </w:tc>
        <w:tc>
          <w:tcPr>
            <w:tcW w:w="10880" w:type="dxa"/>
            <w:vAlign w:val="center"/>
          </w:tcPr>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 xml:space="preserve">质量、环境、职业健康安全方针是： </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顾客至上、优质高效；保护环境、减污降噪；以人为本、安全生产；遵纪守法、持续改进；提高素质、构建和谐；</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质量目标</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1) 施工服务合格率100%;2）顾客满意度≥90%；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环境目标</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1）固废合理分类为100%；2）火灾事故为0。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职业健康安全目标</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意外伤害事故为0；2）火灾事故为0；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查《目标考核表》20</w:t>
            </w:r>
            <w:r>
              <w:rPr>
                <w:rFonts w:hint="eastAsia" w:ascii="Times New Roman" w:hAnsi="Times New Roman" w:eastAsia="宋体" w:cs="Times New Roman"/>
                <w:szCs w:val="22"/>
                <w:lang w:val="en-US" w:eastAsia="zh-CN"/>
              </w:rPr>
              <w:t>21</w:t>
            </w:r>
            <w:r>
              <w:rPr>
                <w:rFonts w:hint="eastAsia" w:ascii="Times New Roman" w:hAnsi="Times New Roman" w:eastAsia="宋体" w:cs="Times New Roman"/>
                <w:szCs w:val="22"/>
              </w:rPr>
              <w:t>年</w:t>
            </w:r>
            <w:r>
              <w:rPr>
                <w:rFonts w:hint="eastAsia" w:ascii="Times New Roman" w:hAnsi="Times New Roman" w:eastAsia="宋体" w:cs="Times New Roman"/>
                <w:szCs w:val="22"/>
                <w:lang w:val="en-US" w:eastAsia="zh-CN"/>
              </w:rPr>
              <w:t>4</w:t>
            </w:r>
            <w:r>
              <w:rPr>
                <w:rFonts w:hint="eastAsia" w:ascii="Times New Roman" w:hAnsi="Times New Roman" w:eastAsia="宋体" w:cs="Times New Roman"/>
                <w:szCs w:val="22"/>
              </w:rPr>
              <w:t>月</w:t>
            </w:r>
            <w:r>
              <w:rPr>
                <w:rFonts w:hint="eastAsia" w:ascii="Times New Roman" w:hAnsi="Times New Roman" w:eastAsia="宋体" w:cs="Times New Roman"/>
                <w:szCs w:val="22"/>
                <w:lang w:val="en-US" w:eastAsia="zh-CN"/>
              </w:rPr>
              <w:t>4日</w:t>
            </w:r>
            <w:r>
              <w:rPr>
                <w:rFonts w:hint="eastAsia" w:ascii="Times New Roman" w:hAnsi="Times New Roman" w:eastAsia="宋体" w:cs="Times New Roman"/>
                <w:szCs w:val="22"/>
              </w:rPr>
              <w:t>，对目标进行考核，均达到目标，</w:t>
            </w:r>
          </w:p>
          <w:p>
            <w:pPr>
              <w:spacing w:line="360" w:lineRule="auto"/>
              <w:ind w:firstLine="420" w:firstLineChars="200"/>
              <w:rPr>
                <w:rFonts w:hint="eastAsia"/>
              </w:rPr>
            </w:pPr>
            <w:r>
              <w:rPr>
                <w:rFonts w:hint="eastAsia" w:ascii="Times New Roman" w:hAnsi="Times New Roman" w:eastAsia="宋体" w:cs="Times New Roman"/>
                <w:szCs w:val="22"/>
                <w:lang w:val="en-US" w:eastAsia="zh-CN"/>
              </w:rPr>
              <w:t>《环境目标指标管理方案》和《安全目标、指标、管理方案》，环境、安全运行检查，具体详见二阶段。</w:t>
            </w:r>
          </w:p>
        </w:tc>
        <w:tc>
          <w:tcPr>
            <w:tcW w:w="709" w:type="dxa"/>
            <w:vAlign w:val="center"/>
          </w:tcPr>
          <w:p>
            <w:pPr>
              <w:widowControl/>
              <w:jc w:val="left"/>
              <w:rPr>
                <w:szCs w:val="21"/>
              </w:rPr>
            </w:pPr>
            <w:r>
              <w:rPr>
                <w:rFonts w:hint="eastAsia"/>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auto"/>
                <w:szCs w:val="21"/>
              </w:rPr>
            </w:pPr>
            <w:r>
              <w:rPr>
                <w:rFonts w:hint="eastAsia"/>
                <w:color w:val="auto"/>
                <w:szCs w:val="21"/>
              </w:rPr>
              <w:t>重要环境因素、</w:t>
            </w:r>
          </w:p>
          <w:p>
            <w:pPr>
              <w:rPr>
                <w:color w:val="auto"/>
                <w:szCs w:val="21"/>
              </w:rPr>
            </w:pPr>
            <w:r>
              <w:rPr>
                <w:rFonts w:hint="eastAsia"/>
                <w:color w:val="auto"/>
                <w:szCs w:val="21"/>
              </w:rPr>
              <w:t>不可接受危险源</w:t>
            </w:r>
          </w:p>
          <w:p>
            <w:pPr>
              <w:rPr>
                <w:color w:val="auto"/>
                <w:szCs w:val="21"/>
              </w:rPr>
            </w:pPr>
          </w:p>
        </w:tc>
        <w:tc>
          <w:tcPr>
            <w:tcW w:w="960" w:type="dxa"/>
          </w:tcPr>
          <w:p>
            <w:pPr>
              <w:rPr>
                <w:color w:val="auto"/>
                <w:szCs w:val="21"/>
              </w:rPr>
            </w:pPr>
          </w:p>
        </w:tc>
        <w:tc>
          <w:tcPr>
            <w:tcW w:w="10880" w:type="dxa"/>
          </w:tcPr>
          <w:p>
            <w:pPr>
              <w:spacing w:line="360" w:lineRule="auto"/>
              <w:rPr>
                <w:rFonts w:hint="eastAsia" w:ascii="Times New Roman" w:hAnsi="Times New Roman" w:cs="Times New Roman"/>
                <w:color w:val="auto"/>
                <w:szCs w:val="21"/>
              </w:rPr>
            </w:pPr>
            <w:r>
              <w:rPr>
                <w:rFonts w:hint="eastAsia"/>
                <w:color w:val="auto"/>
                <w:szCs w:val="21"/>
              </w:rPr>
              <w:t>编制了《环境因素的识别与评价控制程序》《危险源辩识、风险评价和风险控制策划程序》符合标准要求</w:t>
            </w:r>
            <w:r>
              <w:rPr>
                <w:color w:val="auto"/>
                <w:szCs w:val="21"/>
              </w:rPr>
              <w:t>.</w:t>
            </w:r>
            <w:r>
              <w:rPr>
                <w:rFonts w:hint="eastAsia"/>
                <w:color w:val="auto"/>
                <w:szCs w:val="21"/>
              </w:rPr>
              <w:t>提供的“环境因素识别评价表”“重要环境因素清单”，</w:t>
            </w:r>
            <w:r>
              <w:rPr>
                <w:color w:val="auto"/>
                <w:szCs w:val="21"/>
              </w:rPr>
              <w:t xml:space="preserve"> </w:t>
            </w:r>
            <w:r>
              <w:rPr>
                <w:rFonts w:hint="eastAsia"/>
                <w:color w:val="auto"/>
                <w:szCs w:val="21"/>
              </w:rPr>
              <w:t>评价考虑了三种时态现在、过去、将来、三种状态、异常、正常、紧急考虑了</w:t>
            </w:r>
            <w:r>
              <w:rPr>
                <w:rFonts w:hint="eastAsia" w:ascii="Times New Roman" w:hAnsi="Times New Roman" w:cs="Times New Roman"/>
                <w:color w:val="auto"/>
                <w:szCs w:val="21"/>
              </w:rPr>
              <w:t>法律法规，并进行了评价。对重要环境因素的控制措施包括制定管理制度、监督检查、应急预案、培训等。</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查见《重要环境因素清单》，已将“</w:t>
            </w:r>
            <w:r>
              <w:rPr>
                <w:rFonts w:hint="eastAsia" w:asciiTheme="minorEastAsia" w:hAnsiTheme="minorEastAsia" w:eastAsiaTheme="minorEastAsia" w:cstheme="minorEastAsia"/>
                <w:color w:val="auto"/>
                <w:sz w:val="21"/>
                <w:szCs w:val="21"/>
                <w:lang w:val="en-US" w:eastAsia="zh-CN"/>
              </w:rPr>
              <w:t>固废、火灾</w:t>
            </w:r>
            <w:r>
              <w:rPr>
                <w:rFonts w:hint="eastAsia" w:asciiTheme="minorEastAsia" w:hAnsiTheme="minorEastAsia" w:eastAsiaTheme="minorEastAsia" w:cstheme="minorEastAsia"/>
                <w:color w:val="auto"/>
                <w:sz w:val="21"/>
                <w:szCs w:val="21"/>
              </w:rPr>
              <w:t>。”等内容列入重要环境因素</w:t>
            </w:r>
          </w:p>
          <w:p>
            <w:pPr>
              <w:spacing w:line="360" w:lineRule="auto"/>
              <w:rPr>
                <w:rFonts w:hint="eastAsia"/>
                <w:color w:val="auto"/>
                <w:szCs w:val="21"/>
              </w:rPr>
            </w:pPr>
            <w:r>
              <w:rPr>
                <w:rFonts w:hint="eastAsia" w:asciiTheme="minorEastAsia" w:hAnsiTheme="minorEastAsia" w:eastAsiaTheme="minorEastAsia" w:cstheme="minorEastAsia"/>
                <w:color w:val="auto"/>
                <w:sz w:val="21"/>
                <w:szCs w:val="21"/>
              </w:rPr>
              <w:t>项目部的不可接受风险有：火灾、高处坠落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触电，</w:t>
            </w:r>
            <w:r>
              <w:rPr>
                <w:rFonts w:hint="eastAsia" w:asciiTheme="minorEastAsia" w:hAnsiTheme="minorEastAsia" w:eastAsiaTheme="minorEastAsia" w:cstheme="minorEastAsia"/>
                <w:color w:val="auto"/>
                <w:sz w:val="21"/>
                <w:szCs w:val="21"/>
                <w:lang w:val="en-US" w:eastAsia="zh-CN"/>
              </w:rPr>
              <w:t>机械伤害</w:t>
            </w:r>
            <w:r>
              <w:rPr>
                <w:rFonts w:hint="eastAsia" w:asciiTheme="minorEastAsia" w:hAnsiTheme="minorEastAsia" w:eastAsiaTheme="minorEastAsia" w:cstheme="minorEastAsia"/>
                <w:color w:val="auto"/>
                <w:sz w:val="21"/>
                <w:szCs w:val="21"/>
              </w:rPr>
              <w:t>等项。</w:t>
            </w:r>
            <w:r>
              <w:rPr>
                <w:rFonts w:hint="eastAsia" w:ascii="Times New Roman" w:hAnsi="Times New Roman" w:cs="Times New Roman"/>
                <w:color w:val="auto"/>
                <w:szCs w:val="21"/>
              </w:rPr>
              <w:t>二阶段进行进一步关注</w:t>
            </w:r>
          </w:p>
        </w:tc>
        <w:tc>
          <w:tcPr>
            <w:tcW w:w="709" w:type="dxa"/>
          </w:tcPr>
          <w:p>
            <w:pPr>
              <w:pStyle w:val="2"/>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160" w:type="dxa"/>
          </w:tcPr>
          <w:p>
            <w:pPr>
              <w:spacing w:line="360" w:lineRule="auto"/>
              <w:rPr>
                <w:color w:val="auto"/>
                <w:szCs w:val="21"/>
              </w:rPr>
            </w:pPr>
            <w:r>
              <w:rPr>
                <w:rFonts w:hint="eastAsia"/>
                <w:color w:val="auto"/>
                <w:szCs w:val="21"/>
              </w:rPr>
              <w:t>内审情况</w:t>
            </w:r>
          </w:p>
          <w:p>
            <w:pPr>
              <w:spacing w:line="360" w:lineRule="auto"/>
              <w:rPr>
                <w:color w:val="auto"/>
                <w:szCs w:val="21"/>
              </w:rPr>
            </w:pPr>
            <w:r>
              <w:rPr>
                <w:rFonts w:hint="eastAsia"/>
                <w:color w:val="auto"/>
                <w:szCs w:val="21"/>
              </w:rPr>
              <w:t>管理评审</w:t>
            </w:r>
          </w:p>
        </w:tc>
        <w:tc>
          <w:tcPr>
            <w:tcW w:w="960" w:type="dxa"/>
          </w:tcPr>
          <w:p>
            <w:pPr>
              <w:spacing w:line="360" w:lineRule="auto"/>
              <w:rPr>
                <w:color w:val="auto"/>
                <w:szCs w:val="21"/>
              </w:rPr>
            </w:pPr>
          </w:p>
        </w:tc>
        <w:tc>
          <w:tcPr>
            <w:tcW w:w="10880" w:type="dxa"/>
          </w:tcPr>
          <w:p>
            <w:pPr>
              <w:spacing w:line="360" w:lineRule="auto"/>
              <w:rPr>
                <w:rFonts w:hint="eastAsia" w:ascii="Times New Roman" w:hAnsi="Times New Roman" w:cs="Times New Roman"/>
                <w:color w:val="auto"/>
                <w:szCs w:val="21"/>
              </w:rPr>
            </w:pPr>
            <w:r>
              <w:rPr>
                <w:rFonts w:hint="eastAsia"/>
                <w:color w:val="auto"/>
                <w:szCs w:val="21"/>
              </w:rPr>
              <w:t>公司于</w:t>
            </w:r>
            <w:r>
              <w:rPr>
                <w:rFonts w:hint="eastAsia" w:ascii="Times New Roman" w:hAnsi="Times New Roman" w:cs="Times New Roman"/>
                <w:color w:val="auto"/>
                <w:szCs w:val="21"/>
                <w:lang w:val="en-US" w:eastAsia="zh-CN"/>
              </w:rPr>
              <w:t>20</w:t>
            </w:r>
            <w:r>
              <w:rPr>
                <w:rFonts w:hint="eastAsia" w:cs="Times New Roman"/>
                <w:color w:val="auto"/>
                <w:szCs w:val="21"/>
                <w:lang w:val="en-US" w:eastAsia="zh-CN"/>
              </w:rPr>
              <w:t>2</w:t>
            </w:r>
            <w:r>
              <w:rPr>
                <w:rFonts w:hint="eastAsia" w:ascii="Times New Roman" w:hAnsi="Times New Roman" w:cs="Times New Roman"/>
                <w:color w:val="auto"/>
                <w:szCs w:val="21"/>
                <w:lang w:val="en-US" w:eastAsia="zh-CN"/>
              </w:rPr>
              <w:t>1年3月8-9日</w:t>
            </w:r>
            <w:r>
              <w:rPr>
                <w:rFonts w:hint="eastAsia" w:ascii="Times New Roman" w:hAnsi="Times New Roman" w:cs="Times New Roman"/>
                <w:color w:val="auto"/>
                <w:szCs w:val="21"/>
              </w:rPr>
              <w:t>开展内部审核进行一</w:t>
            </w:r>
            <w:bookmarkStart w:id="1" w:name="_GoBack"/>
            <w:bookmarkEnd w:id="1"/>
            <w:r>
              <w:rPr>
                <w:rFonts w:hint="eastAsia" w:ascii="Times New Roman" w:hAnsi="Times New Roman" w:cs="Times New Roman"/>
                <w:color w:val="auto"/>
                <w:szCs w:val="21"/>
              </w:rPr>
              <w:t>次内审，提供了</w:t>
            </w:r>
            <w:r>
              <w:rPr>
                <w:rFonts w:hint="eastAsia" w:asciiTheme="minorEastAsia" w:hAnsiTheme="minorEastAsia" w:eastAsiaTheme="minorEastAsia" w:cstheme="minorEastAsia"/>
                <w:color w:val="auto"/>
                <w:sz w:val="21"/>
                <w:szCs w:val="21"/>
                <w:lang w:val="en-US" w:eastAsia="zh-CN"/>
              </w:rPr>
              <w:t>内审计划、内审记录、不符合报告、内审报告等，</w:t>
            </w:r>
          </w:p>
          <w:p>
            <w:pPr>
              <w:spacing w:line="360" w:lineRule="auto"/>
              <w:rPr>
                <w:rFonts w:hint="eastAsia"/>
                <w:color w:val="auto"/>
                <w:szCs w:val="21"/>
              </w:rPr>
            </w:pPr>
            <w:r>
              <w:rPr>
                <w:rFonts w:hint="eastAsia" w:ascii="Times New Roman" w:hAnsi="Times New Roman" w:cs="Times New Roman"/>
                <w:color w:val="auto"/>
                <w:szCs w:val="21"/>
              </w:rPr>
              <w:t>20</w:t>
            </w:r>
            <w:r>
              <w:rPr>
                <w:rFonts w:hint="eastAsia" w:ascii="Times New Roman" w:hAnsi="Times New Roman" w:cs="Times New Roman"/>
                <w:color w:val="auto"/>
                <w:szCs w:val="21"/>
                <w:lang w:val="en-US" w:eastAsia="zh-CN"/>
              </w:rPr>
              <w:t>21</w:t>
            </w:r>
            <w:r>
              <w:rPr>
                <w:rFonts w:hint="eastAsia" w:ascii="Times New Roman" w:hAnsi="Times New Roman" w:cs="Times New Roman"/>
                <w:color w:val="auto"/>
                <w:szCs w:val="21"/>
              </w:rPr>
              <w:t>年</w:t>
            </w: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月</w:t>
            </w:r>
            <w:r>
              <w:rPr>
                <w:rFonts w:hint="eastAsia" w:ascii="Times New Roman" w:hAnsi="Times New Roman" w:cs="Times New Roman"/>
                <w:color w:val="auto"/>
                <w:szCs w:val="21"/>
                <w:lang w:val="en-US" w:eastAsia="zh-CN"/>
              </w:rPr>
              <w:t>30</w:t>
            </w:r>
            <w:r>
              <w:rPr>
                <w:rFonts w:hint="eastAsia" w:ascii="Times New Roman" w:hAnsi="Times New Roman" w:cs="Times New Roman"/>
                <w:color w:val="auto"/>
                <w:szCs w:val="21"/>
              </w:rPr>
              <w:t>日召开了管理评审会议，由</w:t>
            </w:r>
            <w:r>
              <w:rPr>
                <w:rFonts w:hint="eastAsia"/>
                <w:color w:val="auto"/>
                <w:szCs w:val="21"/>
              </w:rPr>
              <w:t>总经理主持。提供管理评审报告，具体内容，二阶段进一步审核。</w:t>
            </w:r>
          </w:p>
        </w:tc>
        <w:tc>
          <w:tcPr>
            <w:tcW w:w="709" w:type="dxa"/>
          </w:tcPr>
          <w:p>
            <w:pPr>
              <w:pStyle w:val="2"/>
              <w:rPr>
                <w:color w:val="auto"/>
                <w:szCs w:val="21"/>
              </w:rPr>
            </w:pPr>
            <w:r>
              <w:rPr>
                <w:rFonts w:hint="eastAsia"/>
                <w:color w:val="auto"/>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160" w:type="dxa"/>
          </w:tcPr>
          <w:p>
            <w:pPr>
              <w:rPr>
                <w:color w:val="auto"/>
                <w:szCs w:val="21"/>
              </w:rPr>
            </w:pPr>
          </w:p>
          <w:p>
            <w:pPr>
              <w:rPr>
                <w:color w:val="auto"/>
                <w:szCs w:val="21"/>
              </w:rPr>
            </w:pPr>
          </w:p>
          <w:p>
            <w:pPr>
              <w:spacing w:line="360" w:lineRule="auto"/>
              <w:rPr>
                <w:color w:val="auto"/>
                <w:szCs w:val="21"/>
              </w:rPr>
            </w:pPr>
            <w:r>
              <w:rPr>
                <w:rFonts w:hint="eastAsia"/>
                <w:color w:val="auto"/>
                <w:szCs w:val="21"/>
              </w:rPr>
              <w:t>设备设施（包括信息系统）</w:t>
            </w:r>
          </w:p>
          <w:p>
            <w:pPr>
              <w:spacing w:line="360" w:lineRule="auto"/>
              <w:rPr>
                <w:color w:val="auto"/>
                <w:szCs w:val="21"/>
              </w:rPr>
            </w:pPr>
            <w:r>
              <w:rPr>
                <w:rFonts w:hint="eastAsia"/>
                <w:color w:val="auto"/>
                <w:szCs w:val="21"/>
              </w:rPr>
              <w:t>特种设备</w:t>
            </w:r>
          </w:p>
          <w:p>
            <w:pPr>
              <w:spacing w:line="360" w:lineRule="auto"/>
              <w:rPr>
                <w:color w:val="auto"/>
                <w:szCs w:val="21"/>
              </w:rPr>
            </w:pPr>
            <w:r>
              <w:rPr>
                <w:rFonts w:hint="eastAsia"/>
                <w:color w:val="auto"/>
                <w:szCs w:val="21"/>
              </w:rPr>
              <w:t>监视和测量资源</w:t>
            </w:r>
          </w:p>
          <w:p>
            <w:pPr>
              <w:spacing w:line="360" w:lineRule="auto"/>
              <w:rPr>
                <w:rFonts w:hint="eastAsia"/>
                <w:color w:val="auto"/>
                <w:szCs w:val="21"/>
              </w:rPr>
            </w:pPr>
            <w:r>
              <w:rPr>
                <w:rFonts w:hint="eastAsia"/>
                <w:color w:val="auto"/>
                <w:szCs w:val="21"/>
              </w:rPr>
              <w:t>环保、安全设施</w:t>
            </w:r>
          </w:p>
        </w:tc>
        <w:tc>
          <w:tcPr>
            <w:tcW w:w="960" w:type="dxa"/>
          </w:tcPr>
          <w:p>
            <w:pPr>
              <w:spacing w:line="360" w:lineRule="auto"/>
              <w:rPr>
                <w:color w:val="auto"/>
                <w:szCs w:val="21"/>
              </w:rPr>
            </w:pPr>
          </w:p>
        </w:tc>
        <w:tc>
          <w:tcPr>
            <w:tcW w:w="10880" w:type="dxa"/>
          </w:tcPr>
          <w:p>
            <w:pPr>
              <w:spacing w:line="360" w:lineRule="auto"/>
              <w:rPr>
                <w:rFonts w:hint="eastAsia" w:eastAsia="宋体"/>
                <w:color w:val="auto"/>
                <w:szCs w:val="21"/>
                <w:lang w:val="en-US" w:eastAsia="zh-CN"/>
              </w:rPr>
            </w:pPr>
            <w:r>
              <w:rPr>
                <w:rFonts w:hint="eastAsia"/>
                <w:color w:val="auto"/>
                <w:szCs w:val="21"/>
              </w:rPr>
              <w:t>主要施工机具设备：</w:t>
            </w:r>
            <w:r>
              <w:rPr>
                <w:rFonts w:hint="eastAsia" w:ascii="Times New Roman" w:hAnsi="Times New Roman" w:eastAsia="宋体" w:cs="Times New Roman"/>
                <w:color w:val="auto"/>
                <w:szCs w:val="21"/>
              </w:rPr>
              <w:t>电工常用工具、便携式计算机、防爆对讲机、万用表、西门子编程线缆、和利时编程线缆</w:t>
            </w:r>
            <w:r>
              <w:rPr>
                <w:rFonts w:hint="eastAsia" w:cs="Times New Roman"/>
                <w:color w:val="auto"/>
                <w:szCs w:val="21"/>
                <w:lang w:val="en-US" w:eastAsia="zh-CN"/>
              </w:rPr>
              <w:t>等</w:t>
            </w:r>
            <w:r>
              <w:rPr>
                <w:rFonts w:hint="eastAsia" w:ascii="Times New Roman" w:hAnsi="Times New Roman" w:eastAsia="宋体" w:cs="Times New Roman"/>
                <w:color w:val="auto"/>
                <w:szCs w:val="21"/>
                <w:lang w:val="en-US" w:eastAsia="zh-CN"/>
              </w:rPr>
              <w:t>。</w:t>
            </w:r>
          </w:p>
          <w:p>
            <w:pPr>
              <w:spacing w:line="360" w:lineRule="auto"/>
              <w:rPr>
                <w:rFonts w:hint="default"/>
                <w:color w:val="auto"/>
                <w:szCs w:val="21"/>
                <w:lang w:val="en-US" w:eastAsia="zh-CN"/>
              </w:rPr>
            </w:pPr>
            <w:r>
              <w:rPr>
                <w:rFonts w:hint="eastAsia"/>
                <w:color w:val="auto"/>
                <w:szCs w:val="21"/>
                <w:lang w:val="en-US" w:eastAsia="zh-CN"/>
              </w:rPr>
              <w:t>特种设备：无</w:t>
            </w:r>
          </w:p>
          <w:p>
            <w:pPr>
              <w:spacing w:line="360" w:lineRule="auto"/>
              <w:rPr>
                <w:rFonts w:hint="eastAsia"/>
                <w:color w:val="auto"/>
                <w:szCs w:val="21"/>
                <w:lang w:eastAsia="zh-CN"/>
              </w:rPr>
            </w:pPr>
            <w:r>
              <w:rPr>
                <w:rFonts w:hint="eastAsia"/>
                <w:color w:val="auto"/>
                <w:szCs w:val="21"/>
                <w:lang w:val="en-US" w:eastAsia="zh-CN"/>
              </w:rPr>
              <w:t>见</w:t>
            </w:r>
            <w:r>
              <w:rPr>
                <w:rFonts w:hint="eastAsia"/>
                <w:color w:val="auto"/>
                <w:szCs w:val="21"/>
              </w:rPr>
              <w:t>《设备维修保养计划》、《设备维修保养记录》，运行维护基本有效</w:t>
            </w:r>
            <w:r>
              <w:rPr>
                <w:rFonts w:hint="eastAsia"/>
                <w:color w:val="auto"/>
                <w:szCs w:val="21"/>
                <w:lang w:eastAsia="zh-CN"/>
              </w:rPr>
              <w:t>。</w:t>
            </w:r>
          </w:p>
          <w:p>
            <w:pPr>
              <w:spacing w:line="360" w:lineRule="auto"/>
              <w:rPr>
                <w:rFonts w:hint="default"/>
                <w:color w:val="auto"/>
                <w:szCs w:val="21"/>
                <w:lang w:val="en-US" w:eastAsia="zh-CN"/>
              </w:rPr>
            </w:pPr>
            <w:r>
              <w:rPr>
                <w:rFonts w:hint="eastAsia"/>
                <w:color w:val="auto"/>
                <w:szCs w:val="21"/>
              </w:rPr>
              <w:t>监视和测量设备</w:t>
            </w:r>
            <w:r>
              <w:rPr>
                <w:rFonts w:hint="eastAsia"/>
                <w:color w:val="auto"/>
                <w:szCs w:val="21"/>
                <w:lang w:eastAsia="zh-CN"/>
              </w:rPr>
              <w:t>：</w:t>
            </w:r>
            <w:r>
              <w:rPr>
                <w:rFonts w:hint="eastAsia"/>
                <w:color w:val="auto"/>
                <w:szCs w:val="21"/>
                <w:lang w:val="en-US" w:eastAsia="zh-CN"/>
              </w:rPr>
              <w:t>接地电阻测试仪</w:t>
            </w:r>
            <w:r>
              <w:rPr>
                <w:rFonts w:hint="eastAsia"/>
                <w:color w:val="auto"/>
                <w:szCs w:val="21"/>
                <w:lang w:eastAsia="zh-CN"/>
              </w:rPr>
              <w:t>、</w:t>
            </w:r>
            <w:r>
              <w:rPr>
                <w:rFonts w:hint="eastAsia"/>
                <w:color w:val="auto"/>
                <w:szCs w:val="21"/>
                <w:lang w:val="en-US" w:eastAsia="zh-CN"/>
              </w:rPr>
              <w:t>万用表等。</w:t>
            </w:r>
          </w:p>
          <w:p>
            <w:pPr>
              <w:spacing w:line="360" w:lineRule="auto"/>
              <w:rPr>
                <w:rFonts w:hint="eastAsia"/>
                <w:color w:val="auto"/>
                <w:szCs w:val="21"/>
              </w:rPr>
            </w:pPr>
            <w:r>
              <w:rPr>
                <w:rFonts w:hint="eastAsia"/>
                <w:color w:val="auto"/>
                <w:szCs w:val="21"/>
              </w:rPr>
              <w:t>环保、安全设施有：垃圾桶、消防管线；安全设施配置主要有：围栏、标识牌、灭火器、消防器材等，定期维护与保养。二阶段进一步审核。</w:t>
            </w:r>
          </w:p>
        </w:tc>
        <w:tc>
          <w:tcPr>
            <w:tcW w:w="709" w:type="dxa"/>
          </w:tcPr>
          <w:p>
            <w:pPr>
              <w:pStyle w:val="2"/>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160" w:type="dxa"/>
          </w:tcPr>
          <w:p>
            <w:pPr>
              <w:spacing w:line="360" w:lineRule="auto"/>
              <w:rPr>
                <w:color w:val="auto"/>
                <w:szCs w:val="21"/>
              </w:rPr>
            </w:pPr>
            <w:r>
              <w:rPr>
                <w:rFonts w:hint="eastAsia" w:ascii="宋体" w:hAnsi="宋体"/>
                <w:color w:val="auto"/>
                <w:szCs w:val="21"/>
              </w:rPr>
              <w:t>财务费用支出等</w:t>
            </w:r>
          </w:p>
          <w:p>
            <w:pPr>
              <w:spacing w:line="360" w:lineRule="auto"/>
              <w:rPr>
                <w:rFonts w:hint="eastAsia"/>
                <w:color w:val="auto"/>
                <w:szCs w:val="21"/>
              </w:rPr>
            </w:pPr>
          </w:p>
        </w:tc>
        <w:tc>
          <w:tcPr>
            <w:tcW w:w="960" w:type="dxa"/>
          </w:tcPr>
          <w:p>
            <w:pPr>
              <w:spacing w:line="360" w:lineRule="auto"/>
              <w:rPr>
                <w:color w:val="auto"/>
                <w:szCs w:val="21"/>
              </w:rPr>
            </w:pPr>
          </w:p>
        </w:tc>
        <w:tc>
          <w:tcPr>
            <w:tcW w:w="10880" w:type="dxa"/>
          </w:tcPr>
          <w:p>
            <w:pPr>
              <w:pStyle w:val="2"/>
              <w:spacing w:line="360" w:lineRule="auto"/>
              <w:rPr>
                <w:rFonts w:hint="eastAsia" w:ascii="宋体" w:hAnsi="宋体" w:cs="楷体_GB2312"/>
                <w:color w:val="000000" w:themeColor="text1"/>
                <w:szCs w:val="21"/>
              </w:rPr>
            </w:pPr>
            <w:r>
              <w:rPr>
                <w:rFonts w:hint="eastAsia"/>
                <w:bCs w:val="0"/>
                <w:color w:val="000000" w:themeColor="text1"/>
                <w:spacing w:val="0"/>
                <w:szCs w:val="21"/>
              </w:rPr>
              <w:t>经了解，财务投入包括</w:t>
            </w:r>
            <w:r>
              <w:rPr>
                <w:rFonts w:hint="eastAsia" w:ascii="宋体" w:hAnsi="宋体" w:cs="楷体_GB2312"/>
                <w:color w:val="000000" w:themeColor="text1"/>
                <w:szCs w:val="21"/>
              </w:rPr>
              <w:t>员工职业健康的体检费用、安全环保消防监测费用、员工劳保用品费用、防暑降温费用、员工社保的费用等，</w:t>
            </w:r>
          </w:p>
          <w:p>
            <w:pPr>
              <w:pStyle w:val="2"/>
              <w:spacing w:line="360" w:lineRule="auto"/>
              <w:rPr>
                <w:rFonts w:hint="eastAsia"/>
                <w:color w:val="auto"/>
                <w:szCs w:val="21"/>
              </w:rPr>
            </w:pPr>
            <w:r>
              <w:rPr>
                <w:rFonts w:hint="eastAsia" w:ascii="宋体" w:hAnsi="宋体" w:cs="楷体_GB2312"/>
                <w:color w:val="000000" w:themeColor="text1"/>
                <w:szCs w:val="21"/>
              </w:rPr>
              <w:t>二阶段详查</w:t>
            </w:r>
            <w:r>
              <w:rPr>
                <w:rFonts w:hint="eastAsia" w:ascii="宋体" w:hAnsi="宋体" w:cs="楷体_GB2312"/>
                <w:color w:val="auto"/>
                <w:szCs w:val="21"/>
              </w:rPr>
              <w:t>。</w:t>
            </w:r>
          </w:p>
        </w:tc>
        <w:tc>
          <w:tcPr>
            <w:tcW w:w="709" w:type="dxa"/>
          </w:tcPr>
          <w:p>
            <w:pPr>
              <w:pStyle w:val="2"/>
              <w:rPr>
                <w:color w:val="auto"/>
                <w:szCs w:val="21"/>
              </w:rPr>
            </w:pPr>
            <w:r>
              <w:rPr>
                <w:rFonts w:hint="eastAsia"/>
                <w:color w:val="auto"/>
                <w:szCs w:val="21"/>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color w:val="auto"/>
                <w:szCs w:val="21"/>
              </w:rPr>
            </w:pPr>
          </w:p>
          <w:p>
            <w:pPr>
              <w:spacing w:line="360" w:lineRule="auto"/>
              <w:rPr>
                <w:color w:val="auto"/>
                <w:szCs w:val="21"/>
              </w:rPr>
            </w:pPr>
            <w:r>
              <w:rPr>
                <w:rFonts w:hint="eastAsia"/>
                <w:color w:val="auto"/>
              </w:rPr>
              <w:t>应急预案及演习</w:t>
            </w:r>
          </w:p>
          <w:p>
            <w:pPr>
              <w:spacing w:line="360" w:lineRule="auto"/>
              <w:rPr>
                <w:color w:val="auto"/>
                <w:szCs w:val="21"/>
              </w:rPr>
            </w:pPr>
            <w:r>
              <w:rPr>
                <w:rFonts w:hint="eastAsia"/>
                <w:color w:val="auto"/>
                <w:szCs w:val="21"/>
              </w:rPr>
              <w:t>现场观察</w:t>
            </w:r>
          </w:p>
          <w:p>
            <w:pPr>
              <w:spacing w:line="360" w:lineRule="auto"/>
              <w:rPr>
                <w:color w:val="auto"/>
                <w:szCs w:val="21"/>
              </w:rPr>
            </w:pPr>
          </w:p>
        </w:tc>
        <w:tc>
          <w:tcPr>
            <w:tcW w:w="960" w:type="dxa"/>
          </w:tcPr>
          <w:p>
            <w:pPr>
              <w:spacing w:line="360" w:lineRule="auto"/>
              <w:rPr>
                <w:color w:val="auto"/>
                <w:szCs w:val="21"/>
              </w:rPr>
            </w:pPr>
          </w:p>
        </w:tc>
        <w:tc>
          <w:tcPr>
            <w:tcW w:w="10880" w:type="dxa"/>
          </w:tcPr>
          <w:p>
            <w:pPr>
              <w:spacing w:line="360" w:lineRule="auto"/>
              <w:rPr>
                <w:bCs w:val="0"/>
                <w:color w:val="auto"/>
                <w:spacing w:val="0"/>
                <w:szCs w:val="21"/>
              </w:rPr>
            </w:pPr>
            <w:r>
              <w:rPr>
                <w:rFonts w:hint="eastAsia" w:ascii="宋体" w:hAnsi="宋体" w:cs="楷体_GB2312"/>
                <w:bCs/>
                <w:color w:val="auto"/>
                <w:spacing w:val="10"/>
                <w:szCs w:val="21"/>
              </w:rPr>
              <w:t>公司已经组织进行了火灾消防演习等应急预案及演习。二阶段详查</w:t>
            </w:r>
          </w:p>
          <w:p>
            <w:pPr>
              <w:spacing w:line="360" w:lineRule="auto"/>
              <w:rPr>
                <w:color w:val="auto"/>
                <w:szCs w:val="21"/>
              </w:rPr>
            </w:pPr>
            <w:r>
              <w:rPr>
                <w:rFonts w:hint="eastAsia"/>
                <w:color w:val="auto"/>
                <w:szCs w:val="21"/>
              </w:rPr>
              <w:t>各部门及项目经理有办公室；工作环境整洁，配备有办公桌椅、电脑、打印机、电话、空调</w:t>
            </w:r>
            <w:r>
              <w:rPr>
                <w:rFonts w:hint="eastAsia"/>
                <w:color w:val="auto"/>
                <w:szCs w:val="21"/>
                <w:lang w:eastAsia="zh-CN"/>
              </w:rPr>
              <w:t>、</w:t>
            </w:r>
            <w:r>
              <w:rPr>
                <w:rFonts w:hint="eastAsia"/>
                <w:color w:val="auto"/>
                <w:szCs w:val="21"/>
              </w:rPr>
              <w:t>灭火器等设施；</w:t>
            </w:r>
          </w:p>
          <w:p>
            <w:pPr>
              <w:spacing w:line="360" w:lineRule="auto"/>
              <w:rPr>
                <w:bCs w:val="0"/>
                <w:color w:val="auto"/>
                <w:spacing w:val="0"/>
                <w:szCs w:val="21"/>
              </w:rPr>
            </w:pPr>
            <w:r>
              <w:rPr>
                <w:rFonts w:hint="eastAsia"/>
                <w:color w:val="auto"/>
                <w:szCs w:val="21"/>
              </w:rPr>
              <w:t>项目部现场看到：施工现场均设有临时</w:t>
            </w:r>
            <w:r>
              <w:rPr>
                <w:rFonts w:hint="eastAsia"/>
                <w:color w:val="auto"/>
                <w:szCs w:val="21"/>
                <w:lang w:val="en-US" w:eastAsia="zh-CN"/>
              </w:rPr>
              <w:t>项目</w:t>
            </w:r>
            <w:r>
              <w:rPr>
                <w:rFonts w:hint="eastAsia"/>
                <w:color w:val="auto"/>
                <w:szCs w:val="21"/>
              </w:rPr>
              <w:t>办公室、生活区和临时仓库等</w:t>
            </w:r>
            <w:r>
              <w:rPr>
                <w:rFonts w:hint="eastAsia"/>
                <w:color w:val="auto"/>
                <w:szCs w:val="21"/>
                <w:lang w:eastAsia="zh-CN"/>
              </w:rPr>
              <w:t>，</w:t>
            </w:r>
            <w:r>
              <w:rPr>
                <w:rFonts w:hint="eastAsia"/>
                <w:bCs w:val="0"/>
                <w:color w:val="auto"/>
                <w:spacing w:val="0"/>
                <w:szCs w:val="21"/>
              </w:rPr>
              <w:t>现场配备灭火器。运行环境，现场巡查，设备、材料等放置较整齐，基本满足规范要求。</w:t>
            </w:r>
          </w:p>
          <w:p>
            <w:pPr>
              <w:spacing w:line="360" w:lineRule="auto"/>
              <w:rPr>
                <w:color w:val="auto"/>
                <w:szCs w:val="21"/>
              </w:rPr>
            </w:pPr>
            <w:r>
              <w:rPr>
                <w:rFonts w:hint="eastAsia"/>
                <w:color w:val="auto"/>
                <w:szCs w:val="21"/>
              </w:rPr>
              <w:t>二阶段跟踪审核。</w:t>
            </w:r>
          </w:p>
        </w:tc>
        <w:tc>
          <w:tcPr>
            <w:tcW w:w="709" w:type="dxa"/>
          </w:tcPr>
          <w:p>
            <w:pPr>
              <w:rPr>
                <w:color w:val="auto"/>
              </w:rPr>
            </w:pPr>
            <w:r>
              <w:rPr>
                <w:rFonts w:hint="eastAsia"/>
                <w:color w:val="auto"/>
                <w:szCs w:val="21"/>
                <w:lang w:val="en-US" w:eastAsia="zh-CN"/>
              </w:rPr>
              <w:t>OK</w:t>
            </w:r>
          </w:p>
          <w:p>
            <w:pPr>
              <w:pStyle w:val="2"/>
              <w:rPr>
                <w:color w:val="auto"/>
              </w:rPr>
            </w:pPr>
          </w:p>
          <w:p>
            <w:pPr>
              <w:rPr>
                <w:color w:val="auto"/>
              </w:rPr>
            </w:pP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tcPr>
          <w:p>
            <w:pPr>
              <w:spacing w:line="360" w:lineRule="auto"/>
              <w:rPr>
                <w:rFonts w:hint="eastAsia" w:eastAsia="宋体"/>
                <w:color w:val="auto"/>
                <w:szCs w:val="21"/>
                <w:lang w:val="en-US" w:eastAsia="zh-CN"/>
              </w:rPr>
            </w:pPr>
            <w:r>
              <w:rPr>
                <w:rFonts w:hint="eastAsia" w:ascii="宋体" w:hAnsi="宋体"/>
                <w:szCs w:val="21"/>
              </w:rPr>
              <w:t>二阶段审核</w:t>
            </w:r>
            <w:r>
              <w:rPr>
                <w:rFonts w:hint="eastAsia" w:ascii="宋体" w:hAnsi="宋体"/>
                <w:szCs w:val="21"/>
                <w:lang w:val="en-US" w:eastAsia="zh-CN"/>
              </w:rPr>
              <w:t>条件</w:t>
            </w:r>
          </w:p>
        </w:tc>
        <w:tc>
          <w:tcPr>
            <w:tcW w:w="960" w:type="dxa"/>
          </w:tcPr>
          <w:p>
            <w:pPr>
              <w:spacing w:line="360" w:lineRule="auto"/>
              <w:rPr>
                <w:color w:val="auto"/>
                <w:szCs w:val="21"/>
              </w:rPr>
            </w:pPr>
          </w:p>
        </w:tc>
        <w:tc>
          <w:tcPr>
            <w:tcW w:w="10880" w:type="dxa"/>
          </w:tcPr>
          <w:p>
            <w:pPr>
              <w:spacing w:line="360" w:lineRule="auto"/>
              <w:rPr>
                <w:rFonts w:hint="eastAsia"/>
                <w:color w:val="auto"/>
                <w:szCs w:val="21"/>
              </w:rPr>
            </w:pPr>
            <w:r>
              <w:rPr>
                <w:rFonts w:hint="eastAsia" w:ascii="宋体" w:hAnsi="宋体" w:eastAsia="宋体" w:cs="Times New Roman"/>
                <w:szCs w:val="21"/>
              </w:rPr>
              <w:t>具备二阶段审核的条件</w:t>
            </w:r>
          </w:p>
        </w:tc>
        <w:tc>
          <w:tcPr>
            <w:tcW w:w="709" w:type="dxa"/>
          </w:tcPr>
          <w:p>
            <w:pPr>
              <w:rPr>
                <w:color w:val="auto"/>
                <w:szCs w:val="21"/>
              </w:rPr>
            </w:pPr>
          </w:p>
        </w:tc>
      </w:tr>
    </w:tbl>
    <w:p>
      <w:r>
        <w:ptab w:relativeTo="margin" w:alignment="center" w:leader="none"/>
      </w:r>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F74856"/>
    <w:rsid w:val="0D021447"/>
    <w:rsid w:val="0F9558AB"/>
    <w:rsid w:val="131B0F39"/>
    <w:rsid w:val="15186472"/>
    <w:rsid w:val="19EB4597"/>
    <w:rsid w:val="1ABE087E"/>
    <w:rsid w:val="21D00C5B"/>
    <w:rsid w:val="22757181"/>
    <w:rsid w:val="2955203C"/>
    <w:rsid w:val="2A234120"/>
    <w:rsid w:val="37BA1659"/>
    <w:rsid w:val="3A0D4225"/>
    <w:rsid w:val="3A995CEA"/>
    <w:rsid w:val="3DD757B5"/>
    <w:rsid w:val="4BC63AEA"/>
    <w:rsid w:val="5007246F"/>
    <w:rsid w:val="55B96BE4"/>
    <w:rsid w:val="5D44557F"/>
    <w:rsid w:val="6BEF2331"/>
    <w:rsid w:val="72F63A39"/>
    <w:rsid w:val="752A7F76"/>
    <w:rsid w:val="7FE619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143</TotalTime>
  <ScaleCrop>false</ScaleCrop>
  <LinksUpToDate>false</LinksUpToDate>
  <CharactersWithSpaces>100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2021-06-03T13:33:00Z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88623329391343DA8184DDE2443E47F7</vt:lpwstr>
  </property>
</Properties>
</file>