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drawing>
          <wp:anchor distT="0" distB="0" distL="114300" distR="114300" simplePos="0" relativeHeight="251660288" behindDoc="0" locked="0" layoutInCell="1" allowOverlap="1">
            <wp:simplePos x="0" y="0"/>
            <wp:positionH relativeFrom="column">
              <wp:posOffset>-645795</wp:posOffset>
            </wp:positionH>
            <wp:positionV relativeFrom="paragraph">
              <wp:posOffset>-1088390</wp:posOffset>
            </wp:positionV>
            <wp:extent cx="7485380" cy="10578465"/>
            <wp:effectExtent l="0" t="0" r="7620" b="635"/>
            <wp:wrapNone/>
            <wp:docPr id="3" name="图片 3" descr="扫描全能王 2021-05-30 10.5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5-30 10.52_2"/>
                    <pic:cNvPicPr>
                      <a:picLocks noChangeAspect="1"/>
                    </pic:cNvPicPr>
                  </pic:nvPicPr>
                  <pic:blipFill>
                    <a:blip r:embed="rId6"/>
                    <a:stretch>
                      <a:fillRect/>
                    </a:stretch>
                  </pic:blipFill>
                  <pic:spPr>
                    <a:xfrm>
                      <a:off x="0" y="0"/>
                      <a:ext cx="7485380" cy="10578465"/>
                    </a:xfrm>
                    <a:prstGeom prst="rect">
                      <a:avLst/>
                    </a:prstGeom>
                  </pic:spPr>
                </pic:pic>
              </a:graphicData>
            </a:graphic>
          </wp:anchor>
        </w:drawing>
      </w: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425"/>
        <w:gridCol w:w="4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西安曼海特工业技术有限公司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0495-2021-QEO</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马钰</w:t>
            </w:r>
            <w:bookmarkEnd w:id="5"/>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6" w:name="联系人电话"/>
            <w:r>
              <w:rPr>
                <w:sz w:val="21"/>
                <w:szCs w:val="21"/>
              </w:rPr>
              <w:t>13002999967</w:t>
            </w:r>
            <w:bookmarkEnd w:id="6"/>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r>
              <w:rPr>
                <w:sz w:val="21"/>
                <w:szCs w:val="21"/>
              </w:rPr>
              <w:t>1169430605@qq.com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8" w:name="最高管理者"/>
            <w:bookmarkEnd w:id="8"/>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9" w:name="联系人传真"/>
            <w:bookmarkEnd w:id="9"/>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bookmarkStart w:id="10" w:name="审核范围"/>
            <w:r>
              <w:t>Q：冶金设备控制装置的研发及组装;资质范围内的电子与智能化工程的施工</w:t>
            </w:r>
          </w:p>
          <w:p>
            <w:r>
              <w:t>E：冶金设备控制装置的研发及组装;资质范围内的电子与智能化工程的施工所涉及场所的相关环境管理活动</w:t>
            </w:r>
          </w:p>
          <w:p>
            <w:r>
              <w:t>O：冶金设备控制装置的研发及组装;资质范围内的电子与智能化工程的施工所涉及场所的相关职业健康安全管理活动</w:t>
            </w:r>
            <w:bookmarkEnd w:id="10"/>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11" w:name="专业代码"/>
            <w:r>
              <w:t>Q：18.05.01;28.07.01;34.05.00</w:t>
            </w:r>
          </w:p>
          <w:p>
            <w:r>
              <w:t>E：18.05.01;28.07.01;34.05.00</w:t>
            </w:r>
          </w:p>
          <w:p>
            <w:r>
              <w:t>O：18.05.01;28.07.01;34.05.00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2" w:name="审核依据"/>
            <w:r>
              <w:rPr>
                <w:rFonts w:hint="eastAsia" w:ascii="宋体" w:hAnsi="宋体"/>
                <w:b/>
                <w:sz w:val="21"/>
                <w:szCs w:val="21"/>
              </w:rPr>
              <w:t>Q：GB/T19001-2016/ISO9001:2015,E：GB/T 24001-2016/ISO14001:2015,O：GB/T45001-2020 / ISO45001：2018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2021年05月20日 上午至2021年05月21日 下午 (共2.0天)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李俐</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r>
              <w:rPr>
                <w:sz w:val="21"/>
                <w:szCs w:val="21"/>
              </w:rPr>
              <w:t>Q:18.05.01,28.07.01,34.05.00</w:t>
            </w:r>
          </w:p>
          <w:p>
            <w:pPr>
              <w:jc w:val="center"/>
              <w:rPr>
                <w:sz w:val="21"/>
                <w:szCs w:val="21"/>
              </w:rPr>
            </w:pPr>
            <w:r>
              <w:rPr>
                <w:sz w:val="21"/>
                <w:szCs w:val="21"/>
              </w:rPr>
              <w:t>E:18.05.01,28.07.01,34.05.00</w:t>
            </w:r>
          </w:p>
          <w:p>
            <w:pPr>
              <w:jc w:val="center"/>
              <w:rPr>
                <w:sz w:val="21"/>
                <w:szCs w:val="21"/>
              </w:rPr>
            </w:pPr>
            <w:r>
              <w:rPr>
                <w:sz w:val="21"/>
                <w:szCs w:val="21"/>
              </w:rPr>
              <w:t>O:18.05.01,28.07.01,34.05.00</w:t>
            </w:r>
          </w:p>
        </w:tc>
        <w:tc>
          <w:tcPr>
            <w:tcW w:w="1559" w:type="dxa"/>
            <w:gridSpan w:val="4"/>
            <w:vAlign w:val="center"/>
          </w:tcPr>
          <w:p>
            <w:pPr>
              <w:jc w:val="center"/>
              <w:rPr>
                <w:sz w:val="21"/>
                <w:szCs w:val="21"/>
              </w:rPr>
            </w:pPr>
            <w:r>
              <w:rPr>
                <w:sz w:val="21"/>
                <w:szCs w:val="21"/>
              </w:rPr>
              <w:t>13709207775、15389253253</w:t>
            </w:r>
          </w:p>
        </w:tc>
        <w:tc>
          <w:tcPr>
            <w:tcW w:w="1229" w:type="dxa"/>
            <w:vAlign w:val="center"/>
          </w:tcPr>
          <w:p>
            <w:pPr>
              <w:jc w:val="center"/>
              <w:rPr>
                <w:sz w:val="21"/>
                <w:szCs w:val="21"/>
              </w:rPr>
            </w:pPr>
            <w:r>
              <w:rPr>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eastAsia" w:eastAsia="宋体"/>
                <w:sz w:val="21"/>
                <w:szCs w:val="21"/>
                <w:lang w:eastAsia="zh-CN"/>
              </w:rPr>
            </w:pP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wp:posOffset>
                  </wp:positionV>
                  <wp:extent cx="429895" cy="330835"/>
                  <wp:effectExtent l="0" t="0" r="1905" b="12065"/>
                  <wp:wrapNone/>
                  <wp:docPr id="2"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李俐"/>
                          <pic:cNvPicPr>
                            <a:picLocks noChangeAspect="1"/>
                          </pic:cNvPicPr>
                        </pic:nvPicPr>
                        <pic:blipFill>
                          <a:blip r:embed="rId7"/>
                          <a:stretch>
                            <a:fillRect/>
                          </a:stretch>
                        </pic:blipFill>
                        <pic:spPr>
                          <a:xfrm>
                            <a:off x="0" y="0"/>
                            <a:ext cx="429895" cy="330835"/>
                          </a:xfrm>
                          <a:prstGeom prst="rect">
                            <a:avLst/>
                          </a:prstGeom>
                        </pic:spPr>
                      </pic:pic>
                    </a:graphicData>
                  </a:graphic>
                </wp:anchor>
              </w:drawing>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rFonts w:hint="default" w:eastAsia="宋体"/>
                <w:sz w:val="21"/>
                <w:szCs w:val="21"/>
                <w:lang w:val="en-US" w:eastAsia="zh-CN"/>
              </w:rPr>
            </w:pPr>
            <w:r>
              <w:rPr>
                <w:rFonts w:hint="eastAsia"/>
                <w:sz w:val="21"/>
                <w:szCs w:val="21"/>
                <w:lang w:val="en-US" w:eastAsia="zh-CN"/>
              </w:rPr>
              <w:t>李永忠</w:t>
            </w: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13709207775</w:t>
            </w: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2021.5.20</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r>
              <w:rPr>
                <w:rFonts w:hint="eastAsia"/>
                <w:sz w:val="21"/>
                <w:szCs w:val="21"/>
                <w:lang w:val="en-US" w:eastAsia="zh-CN"/>
              </w:rPr>
              <w:t>2021.5.20</w:t>
            </w: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r>
              <w:rPr>
                <w:rFonts w:hint="eastAsia"/>
                <w:sz w:val="21"/>
                <w:szCs w:val="21"/>
                <w:lang w:val="en-US" w:eastAsia="zh-CN"/>
              </w:rPr>
              <w:t>2021.5.20</w:t>
            </w:r>
          </w:p>
        </w:tc>
      </w:tr>
    </w:tbl>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83"/>
        <w:gridCol w:w="6551"/>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9972"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716" w:type="dxa"/>
            <w:tcBorders>
              <w:left w:val="single" w:color="auto" w:sz="8" w:space="0"/>
            </w:tcBorders>
            <w:vAlign w:val="center"/>
          </w:tcPr>
          <w:p>
            <w:pPr>
              <w:snapToGrid w:val="0"/>
              <w:spacing w:line="240" w:lineRule="auto"/>
              <w:jc w:val="center"/>
              <w:rPr>
                <w:b/>
                <w:sz w:val="21"/>
                <w:szCs w:val="21"/>
              </w:rPr>
            </w:pPr>
            <w:r>
              <w:rPr>
                <w:rFonts w:hint="eastAsia"/>
                <w:b/>
                <w:sz w:val="21"/>
                <w:szCs w:val="21"/>
              </w:rPr>
              <w:t>日期</w:t>
            </w:r>
          </w:p>
        </w:tc>
        <w:tc>
          <w:tcPr>
            <w:tcW w:w="1683" w:type="dxa"/>
            <w:vAlign w:val="center"/>
          </w:tcPr>
          <w:p>
            <w:pPr>
              <w:snapToGrid w:val="0"/>
              <w:spacing w:line="240" w:lineRule="auto"/>
              <w:jc w:val="center"/>
              <w:rPr>
                <w:b/>
                <w:sz w:val="21"/>
                <w:szCs w:val="21"/>
              </w:rPr>
            </w:pPr>
            <w:r>
              <w:rPr>
                <w:rFonts w:hint="eastAsia"/>
                <w:b/>
                <w:sz w:val="21"/>
                <w:szCs w:val="21"/>
              </w:rPr>
              <w:t>时间</w:t>
            </w:r>
          </w:p>
        </w:tc>
        <w:tc>
          <w:tcPr>
            <w:tcW w:w="6551" w:type="dxa"/>
            <w:vAlign w:val="center"/>
          </w:tcPr>
          <w:p>
            <w:pPr>
              <w:snapToGrid w:val="0"/>
              <w:spacing w:line="240" w:lineRule="auto"/>
              <w:jc w:val="center"/>
              <w:rPr>
                <w:b/>
                <w:sz w:val="21"/>
                <w:szCs w:val="21"/>
              </w:rPr>
            </w:pPr>
            <w:r>
              <w:rPr>
                <w:rFonts w:hint="eastAsia"/>
                <w:b/>
                <w:sz w:val="21"/>
                <w:szCs w:val="21"/>
              </w:rPr>
              <w:t>受审核部门、场所及审核内容</w:t>
            </w:r>
          </w:p>
        </w:tc>
        <w:tc>
          <w:tcPr>
            <w:tcW w:w="1022"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6" w:type="dxa"/>
            <w:vMerge w:val="restart"/>
            <w:tcBorders>
              <w:left w:val="single" w:color="auto" w:sz="8" w:space="0"/>
            </w:tcBorders>
            <w:vAlign w:val="center"/>
          </w:tcPr>
          <w:p>
            <w:pPr>
              <w:snapToGrid w:val="0"/>
              <w:spacing w:line="240" w:lineRule="auto"/>
              <w:jc w:val="left"/>
              <w:rPr>
                <w:rFonts w:hint="default"/>
                <w:b/>
                <w:sz w:val="21"/>
                <w:szCs w:val="21"/>
                <w:lang w:val="en-US" w:eastAsia="zh-CN"/>
              </w:rPr>
            </w:pPr>
            <w:r>
              <w:rPr>
                <w:rFonts w:hint="eastAsia"/>
                <w:b/>
                <w:sz w:val="21"/>
                <w:szCs w:val="21"/>
                <w:lang w:val="en-US" w:eastAsia="zh-CN"/>
              </w:rPr>
              <w:t>2021.5.20-21</w:t>
            </w: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rFonts w:hint="eastAsia"/>
                <w:b/>
                <w:sz w:val="21"/>
                <w:szCs w:val="21"/>
                <w:lang w:val="en-US" w:eastAsia="zh-CN"/>
              </w:rPr>
            </w:pPr>
          </w:p>
        </w:tc>
        <w:tc>
          <w:tcPr>
            <w:tcW w:w="1683" w:type="dxa"/>
            <w:vAlign w:val="center"/>
          </w:tcPr>
          <w:p>
            <w:pPr>
              <w:snapToGrid w:val="0"/>
              <w:spacing w:line="240" w:lineRule="auto"/>
              <w:jc w:val="left"/>
              <w:rPr>
                <w:b/>
                <w:sz w:val="20"/>
                <w:szCs w:val="22"/>
                <w:lang w:val="en-US" w:eastAsia="zh-CN"/>
              </w:rPr>
            </w:pPr>
            <w:r>
              <w:rPr>
                <w:rFonts w:hint="eastAsia"/>
                <w:b/>
                <w:sz w:val="20"/>
                <w:szCs w:val="22"/>
              </w:rPr>
              <w:t>8:</w:t>
            </w:r>
            <w:r>
              <w:rPr>
                <w:rFonts w:hint="eastAsia"/>
                <w:b/>
                <w:sz w:val="20"/>
                <w:szCs w:val="22"/>
                <w:lang w:val="en-US" w:eastAsia="zh-CN"/>
              </w:rPr>
              <w:t>3</w:t>
            </w:r>
            <w:r>
              <w:rPr>
                <w:rFonts w:hint="eastAsia"/>
                <w:b/>
                <w:sz w:val="20"/>
                <w:szCs w:val="22"/>
              </w:rPr>
              <w:t>0-</w:t>
            </w:r>
            <w:r>
              <w:rPr>
                <w:rFonts w:hint="eastAsia"/>
                <w:b/>
                <w:sz w:val="20"/>
                <w:szCs w:val="22"/>
                <w:lang w:val="en-US" w:eastAsia="zh-CN"/>
              </w:rPr>
              <w:t>9</w:t>
            </w:r>
            <w:r>
              <w:rPr>
                <w:rFonts w:hint="eastAsia"/>
                <w:b/>
                <w:sz w:val="20"/>
                <w:szCs w:val="22"/>
              </w:rPr>
              <w:t>:</w:t>
            </w:r>
            <w:r>
              <w:rPr>
                <w:rFonts w:hint="eastAsia"/>
                <w:b/>
                <w:sz w:val="20"/>
                <w:szCs w:val="22"/>
                <w:lang w:val="en-US" w:eastAsia="zh-CN"/>
              </w:rPr>
              <w:t>0</w:t>
            </w:r>
            <w:r>
              <w:rPr>
                <w:rFonts w:hint="eastAsia"/>
                <w:b/>
                <w:sz w:val="20"/>
                <w:szCs w:val="22"/>
              </w:rPr>
              <w:t>0</w:t>
            </w:r>
          </w:p>
        </w:tc>
        <w:tc>
          <w:tcPr>
            <w:tcW w:w="6551" w:type="dxa"/>
            <w:vAlign w:val="center"/>
          </w:tcPr>
          <w:p>
            <w:pPr>
              <w:adjustRightInd w:val="0"/>
              <w:snapToGrid w:val="0"/>
              <w:spacing w:line="240" w:lineRule="auto"/>
              <w:ind w:firstLine="1476" w:firstLineChars="700"/>
              <w:jc w:val="both"/>
              <w:rPr>
                <w:rFonts w:hint="eastAsia" w:ascii="宋体" w:hAnsi="宋体"/>
                <w:b/>
                <w:bCs/>
                <w:sz w:val="21"/>
                <w:szCs w:val="21"/>
                <w:lang w:val="en-US" w:eastAsia="zh-CN"/>
              </w:rPr>
            </w:pPr>
            <w:r>
              <w:rPr>
                <w:rFonts w:hint="eastAsia" w:ascii="宋体" w:hAnsi="宋体"/>
                <w:b/>
                <w:bCs/>
                <w:sz w:val="21"/>
                <w:szCs w:val="21"/>
              </w:rPr>
              <w:t>首次会议</w:t>
            </w:r>
          </w:p>
        </w:tc>
        <w:tc>
          <w:tcPr>
            <w:tcW w:w="1022" w:type="dxa"/>
            <w:tcBorders>
              <w:right w:val="single" w:color="auto" w:sz="8" w:space="0"/>
            </w:tcBorders>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b w:val="0"/>
                <w:bCs w:val="0"/>
                <w:sz w:val="21"/>
                <w:szCs w:val="21"/>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6" w:type="dxa"/>
            <w:vMerge w:val="continue"/>
            <w:tcBorders>
              <w:left w:val="single" w:color="auto" w:sz="8" w:space="0"/>
            </w:tcBorders>
            <w:vAlign w:val="center"/>
          </w:tcPr>
          <w:p>
            <w:pPr>
              <w:snapToGrid w:val="0"/>
              <w:spacing w:line="240" w:lineRule="auto"/>
              <w:jc w:val="left"/>
              <w:rPr>
                <w:rFonts w:hint="eastAsia"/>
                <w:b/>
                <w:sz w:val="21"/>
                <w:szCs w:val="21"/>
                <w:lang w:val="en-US" w:eastAsia="zh-CN"/>
              </w:rPr>
            </w:pPr>
          </w:p>
        </w:tc>
        <w:tc>
          <w:tcPr>
            <w:tcW w:w="1683" w:type="dxa"/>
            <w:vAlign w:val="center"/>
          </w:tcPr>
          <w:p>
            <w:pPr>
              <w:snapToGrid w:val="0"/>
              <w:spacing w:line="240" w:lineRule="auto"/>
              <w:jc w:val="left"/>
              <w:rPr>
                <w:rFonts w:hint="eastAsia"/>
                <w:b/>
                <w:sz w:val="20"/>
                <w:szCs w:val="22"/>
              </w:rPr>
            </w:pPr>
            <w:r>
              <w:rPr>
                <w:rFonts w:hint="eastAsia"/>
                <w:b/>
                <w:sz w:val="20"/>
                <w:szCs w:val="22"/>
                <w:lang w:val="en-US" w:eastAsia="zh-CN"/>
              </w:rPr>
              <w:t>9</w:t>
            </w:r>
            <w:r>
              <w:rPr>
                <w:rFonts w:hint="eastAsia"/>
                <w:b/>
                <w:sz w:val="20"/>
                <w:szCs w:val="22"/>
              </w:rPr>
              <w:t>:00-1</w:t>
            </w:r>
            <w:r>
              <w:rPr>
                <w:rFonts w:hint="eastAsia"/>
                <w:b/>
                <w:sz w:val="20"/>
                <w:szCs w:val="22"/>
                <w:lang w:val="en-US" w:eastAsia="zh-CN"/>
              </w:rPr>
              <w:t>0</w:t>
            </w:r>
            <w:r>
              <w:rPr>
                <w:rFonts w:hint="eastAsia"/>
                <w:b/>
                <w:sz w:val="20"/>
                <w:szCs w:val="22"/>
              </w:rPr>
              <w:t>.00</w:t>
            </w:r>
          </w:p>
          <w:p>
            <w:pPr>
              <w:snapToGrid w:val="0"/>
              <w:spacing w:line="240" w:lineRule="auto"/>
              <w:jc w:val="left"/>
              <w:rPr>
                <w:rFonts w:hint="eastAsia"/>
                <w:b/>
                <w:sz w:val="20"/>
                <w:szCs w:val="22"/>
              </w:rPr>
            </w:pPr>
          </w:p>
        </w:tc>
        <w:tc>
          <w:tcPr>
            <w:tcW w:w="6551" w:type="dxa"/>
            <w:vAlign w:val="center"/>
          </w:tcPr>
          <w:p>
            <w:pPr>
              <w:spacing w:line="240" w:lineRule="auto"/>
              <w:rPr>
                <w:rFonts w:hint="eastAsia" w:ascii="宋体" w:hAnsi="宋体" w:eastAsia="宋体"/>
                <w:b/>
                <w:bCs/>
                <w:sz w:val="21"/>
                <w:szCs w:val="21"/>
                <w:lang w:val="en-US" w:eastAsia="zh-CN"/>
              </w:rPr>
            </w:pPr>
            <w:r>
              <w:rPr>
                <w:rFonts w:hint="eastAsia" w:ascii="宋体" w:hAnsi="宋体" w:cs="Times New Roman"/>
                <w:sz w:val="21"/>
                <w:szCs w:val="21"/>
                <w:lang w:val="en-US" w:eastAsia="zh-CN"/>
              </w:rPr>
              <w:t>现场经营地：重点是与质量、环境、职业健康安全活动有关的场所及配电室及公司周边环境进行观察。</w:t>
            </w:r>
          </w:p>
        </w:tc>
        <w:tc>
          <w:tcPr>
            <w:tcW w:w="1022" w:type="dxa"/>
            <w:tcBorders>
              <w:right w:val="single" w:color="auto" w:sz="8" w:space="0"/>
            </w:tcBorders>
            <w:vAlign w:val="center"/>
          </w:tcPr>
          <w:p>
            <w:pPr>
              <w:jc w:val="center"/>
              <w:rPr>
                <w:rFonts w:hint="default"/>
                <w:b w:val="0"/>
                <w:bCs w:val="0"/>
                <w:sz w:val="21"/>
                <w:szCs w:val="21"/>
                <w:lang w:val="en-US" w:eastAsia="zh-CN"/>
              </w:rPr>
            </w:pPr>
            <w:r>
              <w:rPr>
                <w:rFonts w:hint="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6" w:type="dxa"/>
            <w:vMerge w:val="continue"/>
            <w:tcBorders>
              <w:left w:val="single" w:color="auto" w:sz="8" w:space="0"/>
            </w:tcBorders>
            <w:vAlign w:val="center"/>
          </w:tcPr>
          <w:p>
            <w:pPr>
              <w:snapToGrid w:val="0"/>
              <w:spacing w:line="240" w:lineRule="auto"/>
              <w:jc w:val="left"/>
              <w:rPr>
                <w:rFonts w:hint="eastAsia"/>
                <w:b/>
                <w:sz w:val="21"/>
                <w:szCs w:val="21"/>
                <w:lang w:val="en-US" w:eastAsia="zh-CN"/>
              </w:rPr>
            </w:pPr>
          </w:p>
        </w:tc>
        <w:tc>
          <w:tcPr>
            <w:tcW w:w="1683" w:type="dxa"/>
            <w:vMerge w:val="restart"/>
            <w:vAlign w:val="center"/>
          </w:tcPr>
          <w:p>
            <w:pPr>
              <w:snapToGrid w:val="0"/>
              <w:spacing w:line="240" w:lineRule="auto"/>
              <w:jc w:val="left"/>
              <w:rPr>
                <w:b/>
                <w:sz w:val="20"/>
              </w:rPr>
            </w:pPr>
            <w:r>
              <w:rPr>
                <w:rFonts w:hint="eastAsia"/>
                <w:b/>
                <w:sz w:val="20"/>
                <w:lang w:val="en-US" w:eastAsia="zh-CN"/>
              </w:rPr>
              <w:t>10</w:t>
            </w:r>
            <w:r>
              <w:rPr>
                <w:b/>
                <w:sz w:val="20"/>
              </w:rPr>
              <w:t>:</w:t>
            </w:r>
            <w:r>
              <w:rPr>
                <w:rFonts w:hint="eastAsia"/>
                <w:b/>
                <w:sz w:val="20"/>
                <w:lang w:val="en-US" w:eastAsia="zh-CN"/>
              </w:rPr>
              <w:t>0</w:t>
            </w:r>
            <w:r>
              <w:rPr>
                <w:b/>
                <w:sz w:val="20"/>
              </w:rPr>
              <w:t>0-12.00</w:t>
            </w:r>
          </w:p>
          <w:p>
            <w:pPr>
              <w:snapToGrid w:val="0"/>
              <w:spacing w:line="240" w:lineRule="auto"/>
              <w:jc w:val="left"/>
              <w:rPr>
                <w:b/>
                <w:sz w:val="20"/>
              </w:rPr>
            </w:pPr>
          </w:p>
          <w:p>
            <w:pPr>
              <w:snapToGrid w:val="0"/>
              <w:spacing w:line="240" w:lineRule="auto"/>
              <w:jc w:val="left"/>
              <w:rPr>
                <w:b/>
                <w:sz w:val="20"/>
              </w:rPr>
            </w:pPr>
            <w:r>
              <w:rPr>
                <w:b/>
                <w:sz w:val="20"/>
              </w:rPr>
              <w:t>12:00-13.00</w:t>
            </w:r>
            <w:r>
              <w:rPr>
                <w:rFonts w:hint="eastAsia"/>
                <w:b/>
                <w:sz w:val="20"/>
              </w:rPr>
              <w:t>午餐</w:t>
            </w:r>
          </w:p>
          <w:p>
            <w:pPr>
              <w:snapToGrid w:val="0"/>
              <w:spacing w:line="240" w:lineRule="auto"/>
              <w:jc w:val="left"/>
              <w:rPr>
                <w:b/>
                <w:sz w:val="20"/>
              </w:rPr>
            </w:pPr>
          </w:p>
          <w:p>
            <w:pPr>
              <w:snapToGrid w:val="0"/>
              <w:spacing w:line="240" w:lineRule="auto"/>
              <w:jc w:val="left"/>
              <w:rPr>
                <w:b/>
                <w:sz w:val="20"/>
              </w:rPr>
            </w:pPr>
            <w:r>
              <w:rPr>
                <w:b/>
                <w:sz w:val="20"/>
              </w:rPr>
              <w:t>13:00-1</w:t>
            </w:r>
            <w:r>
              <w:rPr>
                <w:rFonts w:hint="eastAsia"/>
                <w:b/>
                <w:sz w:val="20"/>
                <w:lang w:val="en-US" w:eastAsia="zh-CN"/>
              </w:rPr>
              <w:t>8</w:t>
            </w:r>
            <w:r>
              <w:rPr>
                <w:b/>
                <w:sz w:val="20"/>
              </w:rPr>
              <w:t>:00</w:t>
            </w: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pacing w:line="240" w:lineRule="auto"/>
              <w:jc w:val="both"/>
              <w:rPr>
                <w:rFonts w:hint="eastAsia" w:ascii="宋体" w:hAnsi="宋体" w:cstheme="minorEastAsia"/>
                <w:color w:val="auto"/>
                <w:sz w:val="21"/>
                <w:szCs w:val="21"/>
              </w:rPr>
            </w:pPr>
          </w:p>
          <w:p>
            <w:pPr>
              <w:spacing w:line="240" w:lineRule="auto"/>
              <w:jc w:val="both"/>
              <w:rPr>
                <w:rFonts w:ascii="Times New Roman" w:hAnsi="Times New Roman" w:eastAsia="宋体" w:cs="Times New Roman"/>
                <w:b/>
                <w:kern w:val="2"/>
                <w:sz w:val="21"/>
                <w:szCs w:val="21"/>
                <w:lang w:val="en-US" w:eastAsia="zh-CN" w:bidi="ar-SA"/>
              </w:rPr>
            </w:pPr>
          </w:p>
        </w:tc>
        <w:tc>
          <w:tcPr>
            <w:tcW w:w="6551" w:type="dxa"/>
            <w:vAlign w:val="center"/>
          </w:tcPr>
          <w:p>
            <w:pPr>
              <w:spacing w:line="240" w:lineRule="auto"/>
              <w:rPr>
                <w:rFonts w:hint="eastAsia" w:ascii="宋体" w:hAnsi="宋体" w:cs="Times New Roman"/>
                <w:sz w:val="21"/>
                <w:szCs w:val="21"/>
              </w:rPr>
            </w:pPr>
            <w:r>
              <w:rPr>
                <w:rFonts w:hint="eastAsia" w:ascii="宋体" w:hAnsi="宋体"/>
                <w:sz w:val="21"/>
                <w:szCs w:val="21"/>
              </w:rPr>
              <w:t>审</w:t>
            </w:r>
            <w:r>
              <w:rPr>
                <w:rFonts w:hint="eastAsia" w:ascii="宋体" w:hAnsi="宋体" w:cs="Times New Roman"/>
                <w:sz w:val="21"/>
                <w:szCs w:val="21"/>
              </w:rPr>
              <w:t>核</w:t>
            </w:r>
            <w:r>
              <w:rPr>
                <w:rFonts w:hint="eastAsia" w:ascii="宋体" w:hAnsi="宋体" w:cs="Times New Roman"/>
                <w:sz w:val="21"/>
                <w:szCs w:val="21"/>
                <w:lang w:val="en-US" w:eastAsia="zh-CN"/>
              </w:rPr>
              <w:t>：</w:t>
            </w:r>
            <w:r>
              <w:rPr>
                <w:rFonts w:hint="eastAsia" w:ascii="宋体" w:hAnsi="宋体" w:cs="Times New Roman"/>
                <w:sz w:val="21"/>
                <w:szCs w:val="21"/>
              </w:rPr>
              <w:t>管理层、</w:t>
            </w:r>
            <w:r>
              <w:rPr>
                <w:rFonts w:hint="eastAsia" w:ascii="宋体" w:hAnsi="宋体" w:cs="Times New Roman"/>
                <w:sz w:val="21"/>
                <w:szCs w:val="21"/>
                <w:lang w:val="en-US" w:eastAsia="zh-CN"/>
              </w:rPr>
              <w:t>行政</w:t>
            </w:r>
            <w:r>
              <w:rPr>
                <w:rFonts w:hint="eastAsia" w:ascii="宋体" w:hAnsi="宋体" w:cs="Times New Roman"/>
                <w:sz w:val="21"/>
                <w:szCs w:val="21"/>
              </w:rPr>
              <w:t>部</w:t>
            </w:r>
            <w:r>
              <w:rPr>
                <w:rFonts w:hint="eastAsia" w:ascii="宋体" w:hAnsi="宋体" w:cs="Times New Roman"/>
                <w:sz w:val="21"/>
                <w:szCs w:val="21"/>
                <w:lang w:val="en-US" w:eastAsia="zh-CN"/>
              </w:rPr>
              <w:t>/财务部</w:t>
            </w:r>
            <w:r>
              <w:rPr>
                <w:rFonts w:hint="eastAsia" w:ascii="宋体" w:hAnsi="宋体" w:cs="Times New Roman"/>
                <w:sz w:val="21"/>
                <w:szCs w:val="21"/>
              </w:rPr>
              <w:t>、</w:t>
            </w:r>
            <w:r>
              <w:rPr>
                <w:rFonts w:hint="eastAsia" w:ascii="宋体" w:hAnsi="宋体" w:cs="Times New Roman"/>
                <w:sz w:val="21"/>
                <w:szCs w:val="21"/>
                <w:lang w:val="en-US" w:eastAsia="zh-CN"/>
              </w:rPr>
              <w:t>供销部</w:t>
            </w:r>
            <w:r>
              <w:rPr>
                <w:rFonts w:hint="eastAsia" w:ascii="宋体" w:hAnsi="宋体" w:cs="Times New Roman"/>
                <w:sz w:val="21"/>
                <w:szCs w:val="21"/>
              </w:rPr>
              <w:t>、工程部：</w:t>
            </w:r>
          </w:p>
          <w:p>
            <w:pPr>
              <w:spacing w:line="240" w:lineRule="auto"/>
              <w:rPr>
                <w:rFonts w:hint="eastAsia" w:ascii="宋体" w:hAnsi="宋体" w:cs="Times New Roman"/>
                <w:sz w:val="21"/>
                <w:szCs w:val="21"/>
              </w:rPr>
            </w:pPr>
            <w:r>
              <w:rPr>
                <w:rFonts w:hint="eastAsia" w:ascii="宋体" w:hAnsi="宋体" w:cs="Times New Roman"/>
                <w:sz w:val="21"/>
                <w:szCs w:val="21"/>
              </w:rPr>
              <w:t>了解受审核方基本概况，资质、法人、总经理及部门设置、主管部门。</w:t>
            </w:r>
          </w:p>
          <w:p>
            <w:pPr>
              <w:spacing w:line="240" w:lineRule="auto"/>
              <w:rPr>
                <w:rFonts w:hint="eastAsia" w:ascii="宋体" w:hAnsi="宋体" w:cs="Times New Roman"/>
                <w:sz w:val="21"/>
                <w:szCs w:val="21"/>
              </w:rPr>
            </w:pPr>
            <w:r>
              <w:rPr>
                <w:rFonts w:hint="eastAsia" w:ascii="宋体" w:hAnsi="宋体" w:cs="Times New Roman"/>
                <w:sz w:val="21"/>
                <w:szCs w:val="21"/>
              </w:rPr>
              <w:t>了解受审核方管理体系策划情况。</w:t>
            </w:r>
          </w:p>
          <w:p>
            <w:pPr>
              <w:spacing w:line="240" w:lineRule="auto"/>
              <w:rPr>
                <w:rFonts w:hint="eastAsia" w:ascii="宋体" w:hAnsi="宋体" w:cs="Times New Roman"/>
                <w:sz w:val="21"/>
                <w:szCs w:val="21"/>
              </w:rPr>
            </w:pPr>
            <w:r>
              <w:rPr>
                <w:rFonts w:hint="eastAsia" w:ascii="宋体" w:hAnsi="宋体" w:cs="Times New Roman"/>
                <w:sz w:val="21"/>
                <w:szCs w:val="21"/>
              </w:rPr>
              <w:t>确定认证范围和经营场所</w:t>
            </w:r>
          </w:p>
          <w:p>
            <w:pPr>
              <w:spacing w:line="240" w:lineRule="auto"/>
              <w:rPr>
                <w:rFonts w:hint="eastAsia" w:ascii="宋体" w:hAnsi="宋体" w:cs="Times New Roman"/>
                <w:sz w:val="21"/>
                <w:szCs w:val="21"/>
              </w:rPr>
            </w:pPr>
            <w:r>
              <w:rPr>
                <w:rFonts w:hint="eastAsia" w:ascii="宋体" w:hAnsi="宋体" w:cs="Times New Roman"/>
                <w:sz w:val="21"/>
                <w:szCs w:val="21"/>
              </w:rPr>
              <w:t>了解受审核方理解和实施标准要求的情况，特别是对管理体系的关键绩效、过程、目标和运作的识别情况；</w:t>
            </w:r>
          </w:p>
          <w:p>
            <w:pPr>
              <w:spacing w:line="240" w:lineRule="auto"/>
              <w:rPr>
                <w:rFonts w:hint="eastAsia" w:ascii="宋体" w:hAnsi="宋体" w:cs="Times New Roman"/>
                <w:sz w:val="21"/>
                <w:szCs w:val="21"/>
              </w:rPr>
            </w:pPr>
            <w:r>
              <w:rPr>
                <w:rFonts w:hint="eastAsia" w:ascii="宋体" w:hAnsi="宋体" w:cs="Times New Roman"/>
                <w:sz w:val="21"/>
                <w:szCs w:val="21"/>
              </w:rPr>
              <w:t>了解受审核方文件、外来文件和环境、职业健康安全适用法律法规及其他要求控制情况；</w:t>
            </w:r>
          </w:p>
          <w:p>
            <w:pPr>
              <w:spacing w:line="240" w:lineRule="auto"/>
              <w:rPr>
                <w:rFonts w:hint="eastAsia" w:ascii="宋体" w:hAnsi="宋体" w:cs="Times New Roman"/>
                <w:sz w:val="21"/>
                <w:szCs w:val="21"/>
              </w:rPr>
            </w:pPr>
            <w:r>
              <w:rPr>
                <w:rFonts w:hint="eastAsia" w:ascii="宋体" w:hAnsi="宋体" w:cs="Times New Roman"/>
                <w:sz w:val="21"/>
                <w:szCs w:val="21"/>
              </w:rPr>
              <w:t>了解受审核方是否策划和实施了内部审核；</w:t>
            </w:r>
          </w:p>
          <w:p>
            <w:pPr>
              <w:spacing w:line="240" w:lineRule="auto"/>
              <w:rPr>
                <w:rFonts w:hint="eastAsia" w:ascii="宋体" w:hAnsi="宋体" w:cs="Times New Roman"/>
                <w:sz w:val="21"/>
                <w:szCs w:val="21"/>
              </w:rPr>
            </w:pPr>
            <w:r>
              <w:rPr>
                <w:rFonts w:hint="eastAsia" w:ascii="宋体" w:hAnsi="宋体" w:cs="Times New Roman"/>
                <w:sz w:val="21"/>
                <w:szCs w:val="21"/>
              </w:rPr>
              <w:t>了解管理评审控制情况；</w:t>
            </w:r>
          </w:p>
          <w:p>
            <w:pPr>
              <w:spacing w:line="240" w:lineRule="auto"/>
              <w:rPr>
                <w:rFonts w:hint="eastAsia" w:ascii="宋体" w:hAnsi="宋体" w:cs="Times New Roman"/>
                <w:sz w:val="21"/>
                <w:szCs w:val="21"/>
              </w:rPr>
            </w:pPr>
            <w:r>
              <w:rPr>
                <w:rFonts w:hint="eastAsia" w:ascii="宋体" w:hAnsi="宋体" w:cs="Times New Roman"/>
                <w:sz w:val="21"/>
                <w:szCs w:val="21"/>
              </w:rPr>
              <w:t>了解财务资金投入情况等。</w:t>
            </w:r>
          </w:p>
          <w:p>
            <w:pPr>
              <w:spacing w:line="240" w:lineRule="auto"/>
              <w:rPr>
                <w:rFonts w:hint="eastAsia" w:ascii="宋体" w:hAnsi="宋体" w:cs="Times New Roman"/>
                <w:sz w:val="21"/>
                <w:szCs w:val="21"/>
              </w:rPr>
            </w:pPr>
            <w:r>
              <w:rPr>
                <w:rFonts w:hint="eastAsia" w:ascii="宋体" w:hAnsi="宋体" w:cs="Times New Roman"/>
                <w:sz w:val="21"/>
                <w:szCs w:val="21"/>
              </w:rPr>
              <w:t>了解审核方对产品实现过程的策划、实施和监视测量情况，工程施工中的关键过程和需确认过程的识别和控制状况；</w:t>
            </w:r>
          </w:p>
          <w:p>
            <w:pPr>
              <w:spacing w:line="240" w:lineRule="auto"/>
              <w:rPr>
                <w:rFonts w:hint="eastAsia" w:ascii="宋体" w:hAnsi="宋体" w:cs="Times New Roman"/>
                <w:sz w:val="21"/>
                <w:szCs w:val="21"/>
              </w:rPr>
            </w:pPr>
            <w:r>
              <w:rPr>
                <w:rFonts w:hint="eastAsia" w:ascii="宋体" w:hAnsi="宋体" w:cs="Times New Roman"/>
                <w:sz w:val="21"/>
                <w:szCs w:val="21"/>
              </w:rPr>
              <w:t>识别过程所形成的文件和记录的适宜性和充分性；</w:t>
            </w:r>
          </w:p>
          <w:p>
            <w:pPr>
              <w:spacing w:line="240" w:lineRule="auto"/>
              <w:rPr>
                <w:rFonts w:hint="eastAsia" w:ascii="宋体" w:hAnsi="宋体" w:cs="Times New Roman"/>
                <w:sz w:val="21"/>
                <w:szCs w:val="21"/>
              </w:rPr>
            </w:pPr>
            <w:r>
              <w:rPr>
                <w:rFonts w:hint="eastAsia" w:ascii="宋体" w:hAnsi="宋体" w:cs="Times New Roman"/>
                <w:sz w:val="21"/>
                <w:szCs w:val="21"/>
              </w:rPr>
              <w:t>监视与测量资源和工作环境对产品质量的保障情况: 监视与测量资源日常管控受控情况等。</w:t>
            </w:r>
          </w:p>
          <w:p>
            <w:pPr>
              <w:spacing w:line="240" w:lineRule="auto"/>
              <w:rPr>
                <w:rFonts w:hint="eastAsia" w:ascii="宋体" w:hAnsi="宋体" w:cs="Times New Roman"/>
                <w:sz w:val="21"/>
                <w:szCs w:val="21"/>
              </w:rPr>
            </w:pPr>
            <w:r>
              <w:rPr>
                <w:rFonts w:hint="eastAsia" w:ascii="宋体" w:hAnsi="宋体" w:cs="Times New Roman"/>
                <w:sz w:val="21"/>
                <w:szCs w:val="21"/>
              </w:rPr>
              <w:t>了解受审核方采购、销售的实施控制情况；</w:t>
            </w:r>
          </w:p>
          <w:p>
            <w:pPr>
              <w:spacing w:line="240" w:lineRule="auto"/>
              <w:rPr>
                <w:rFonts w:hint="eastAsia" w:ascii="宋体" w:hAnsi="宋体" w:cs="Times New Roman"/>
                <w:sz w:val="21"/>
                <w:szCs w:val="21"/>
              </w:rPr>
            </w:pPr>
            <w:r>
              <w:rPr>
                <w:rFonts w:hint="eastAsia" w:ascii="宋体" w:hAnsi="宋体" w:cs="Times New Roman"/>
                <w:sz w:val="21"/>
                <w:szCs w:val="21"/>
              </w:rPr>
              <w:t>了解受审核方生产过程、销售过程、采购过程、办公过程环境因素和危险源识别、重要环境因素和重大危险源控制措施策划，合规性评价；环境、职业健康安全管理体系运作的情况；</w:t>
            </w:r>
          </w:p>
          <w:p>
            <w:pPr>
              <w:spacing w:line="240" w:lineRule="auto"/>
              <w:rPr>
                <w:rFonts w:hint="eastAsia" w:ascii="宋体" w:hAnsi="宋体" w:cs="Times New Roman"/>
                <w:sz w:val="21"/>
                <w:szCs w:val="21"/>
              </w:rPr>
            </w:pPr>
            <w:r>
              <w:rPr>
                <w:rFonts w:hint="eastAsia" w:ascii="宋体" w:hAnsi="宋体" w:cs="Times New Roman"/>
                <w:sz w:val="21"/>
                <w:szCs w:val="21"/>
              </w:rPr>
              <w:t>必要时检查环境评价、安全评价、消防验收等情况.</w:t>
            </w:r>
          </w:p>
          <w:p>
            <w:pPr>
              <w:spacing w:line="240" w:lineRule="auto"/>
              <w:rPr>
                <w:rFonts w:hint="eastAsia" w:ascii="宋体" w:hAnsi="宋体"/>
                <w:sz w:val="21"/>
                <w:szCs w:val="21"/>
              </w:rPr>
            </w:pPr>
            <w:r>
              <w:rPr>
                <w:rFonts w:hint="eastAsia" w:ascii="宋体" w:hAnsi="宋体" w:cs="Times New Roman"/>
                <w:sz w:val="21"/>
                <w:szCs w:val="21"/>
              </w:rPr>
              <w:t>商定第二阶段审核的时间、细节等受审核方是否策划和实施了管理</w:t>
            </w:r>
            <w:r>
              <w:rPr>
                <w:rFonts w:hint="eastAsia" w:ascii="宋体" w:hAnsi="宋体" w:cs="宋体"/>
                <w:sz w:val="18"/>
                <w:szCs w:val="18"/>
              </w:rPr>
              <w:t>。</w:t>
            </w:r>
          </w:p>
        </w:tc>
        <w:tc>
          <w:tcPr>
            <w:tcW w:w="1022" w:type="dxa"/>
            <w:tcBorders>
              <w:right w:val="single" w:color="auto" w:sz="8" w:space="0"/>
            </w:tcBorders>
            <w:vAlign w:val="center"/>
          </w:tcPr>
          <w:p>
            <w:pPr>
              <w:jc w:val="center"/>
              <w:rPr>
                <w:rFonts w:hint="default"/>
                <w:b w:val="0"/>
                <w:bCs w:val="0"/>
                <w:sz w:val="21"/>
                <w:szCs w:val="21"/>
                <w:lang w:val="en-US" w:eastAsia="zh-CN"/>
              </w:rPr>
            </w:pPr>
            <w:r>
              <w:rPr>
                <w:rFonts w:hint="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6" w:type="dxa"/>
            <w:vMerge w:val="continue"/>
            <w:tcBorders>
              <w:left w:val="single" w:color="auto" w:sz="8" w:space="0"/>
            </w:tcBorders>
            <w:vAlign w:val="top"/>
          </w:tcPr>
          <w:p>
            <w:pPr>
              <w:snapToGrid w:val="0"/>
              <w:spacing w:line="280" w:lineRule="exact"/>
              <w:jc w:val="left"/>
              <w:rPr>
                <w:rFonts w:ascii="Times New Roman" w:hAnsi="Times New Roman" w:eastAsia="宋体" w:cs="Times New Roman"/>
                <w:b/>
                <w:kern w:val="2"/>
                <w:sz w:val="21"/>
                <w:szCs w:val="21"/>
                <w:lang w:val="en-US" w:eastAsia="zh-CN" w:bidi="ar-SA"/>
              </w:rPr>
            </w:pPr>
          </w:p>
        </w:tc>
        <w:tc>
          <w:tcPr>
            <w:tcW w:w="1683" w:type="dxa"/>
            <w:vMerge w:val="continue"/>
            <w:vAlign w:val="center"/>
          </w:tcPr>
          <w:p>
            <w:pPr>
              <w:jc w:val="both"/>
              <w:rPr>
                <w:rFonts w:ascii="Times New Roman" w:hAnsi="Times New Roman" w:eastAsia="宋体" w:cs="Times New Roman"/>
                <w:b/>
                <w:kern w:val="2"/>
                <w:sz w:val="21"/>
                <w:szCs w:val="21"/>
                <w:lang w:val="en-US" w:eastAsia="zh-CN" w:bidi="ar-SA"/>
              </w:rPr>
            </w:pPr>
          </w:p>
        </w:tc>
        <w:tc>
          <w:tcPr>
            <w:tcW w:w="6551" w:type="dxa"/>
            <w:vAlign w:val="center"/>
          </w:tcPr>
          <w:p>
            <w:pPr>
              <w:adjustRightInd w:val="0"/>
              <w:snapToGrid w:val="0"/>
              <w:spacing w:line="360" w:lineRule="auto"/>
              <w:jc w:val="both"/>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w:t>
            </w:r>
          </w:p>
        </w:tc>
        <w:tc>
          <w:tcPr>
            <w:tcW w:w="1022" w:type="dxa"/>
            <w:vAlign w:val="center"/>
          </w:tcPr>
          <w:p>
            <w:pPr>
              <w:jc w:val="center"/>
              <w:rPr>
                <w:rFonts w:hint="default" w:ascii="Times New Roman" w:hAnsi="Times New Roman" w:eastAsia="宋体" w:cs="Times New Roman"/>
                <w:b/>
                <w:kern w:val="2"/>
                <w:sz w:val="21"/>
                <w:szCs w:val="21"/>
                <w:lang w:val="en-US" w:eastAsia="zh-CN" w:bidi="ar-SA"/>
              </w:rPr>
            </w:pPr>
            <w:r>
              <w:rPr>
                <w:rFonts w:hint="eastAsia"/>
                <w:b w:val="0"/>
                <w:bCs w:val="0"/>
                <w:sz w:val="21"/>
                <w:szCs w:val="21"/>
                <w:lang w:val="en-US" w:eastAsia="zh-CN"/>
              </w:rPr>
              <w:t>A</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C5784"/>
    <w:rsid w:val="49E40CC4"/>
    <w:rsid w:val="6A2B53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2</TotalTime>
  <ScaleCrop>false</ScaleCrop>
  <LinksUpToDate>false</LinksUpToDate>
  <CharactersWithSpaces>1267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郭力</cp:lastModifiedBy>
  <cp:lastPrinted>2019-03-27T03:10:00Z</cp:lastPrinted>
  <dcterms:modified xsi:type="dcterms:W3CDTF">2021-06-03T13:45:15Z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38A1B595570B42FDBCEFC8A6D5B193FB</vt:lpwstr>
  </property>
</Properties>
</file>