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厦门好中豪食品科技有限公司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ascii="宋体" w:hAnsi="宋体"/>
                <w:snapToGrid w:val="0"/>
                <w:color w:val="000000"/>
                <w:kern w:val="0"/>
                <w:sz w:val="18"/>
                <w:szCs w:val="21"/>
              </w:rPr>
              <w:sym w:font="Wingdings 2" w:char="0052"/>
            </w:r>
            <w:r>
              <w:rPr>
                <w:rFonts w:hint="eastAsia" w:ascii="宋体" w:hAnsi="宋体"/>
                <w:snapToGrid w:val="0"/>
                <w:color w:val="000000"/>
                <w:kern w:val="0"/>
                <w:sz w:val="18"/>
                <w:szCs w:val="21"/>
              </w:rPr>
              <w:t>F：ISO 22000:2018</w:t>
            </w:r>
            <w:r>
              <w:rPr>
                <w:rFonts w:hint="eastAsia" w:ascii="宋体" w:hAnsi="宋体"/>
                <w:snapToGrid w:val="0"/>
                <w:color w:val="000000"/>
                <w:kern w:val="0"/>
                <w:sz w:val="18"/>
                <w:szCs w:val="21"/>
                <w:lang w:val="en-US" w:eastAsia="zh-CN"/>
              </w:rPr>
              <w:t>&amp;GB/T27306-2008</w:t>
            </w:r>
            <w:r>
              <w:rPr>
                <w:rFonts w:hint="eastAsia" w:ascii="宋体" w:hAnsi="宋体"/>
                <w:snapToGrid w:val="0"/>
                <w:color w:val="000000"/>
                <w:kern w:val="0"/>
                <w:sz w:val="18"/>
                <w:szCs w:val="21"/>
              </w:rPr>
              <w:t>,</w:t>
            </w:r>
            <w:r>
              <w:rPr>
                <w:rFonts w:hint="eastAsia" w:ascii="宋体" w:hAnsi="宋体"/>
                <w:snapToGrid w:val="0"/>
                <w:color w:val="000000"/>
                <w:kern w:val="0"/>
                <w:sz w:val="18"/>
                <w:szCs w:val="21"/>
              </w:rPr>
              <w:sym w:font="Wingdings 2" w:char="0052"/>
            </w:r>
            <w:r>
              <w:rPr>
                <w:rFonts w:hint="eastAsia" w:ascii="宋体" w:hAnsi="宋体"/>
                <w:snapToGrid w:val="0"/>
                <w:color w:val="000000"/>
                <w:kern w:val="0"/>
                <w:sz w:val="18"/>
                <w:szCs w:val="21"/>
              </w:rPr>
              <w:t>H：GB/T27341-2009/GB14881-2013</w:t>
            </w:r>
            <w:bookmarkEnd w:id="1"/>
            <w:r>
              <w:rPr>
                <w:rFonts w:hint="eastAsia" w:ascii="宋体" w:hAnsi="宋体"/>
                <w:snapToGrid w:val="0"/>
                <w:color w:val="000000"/>
                <w:kern w:val="0"/>
                <w:sz w:val="18"/>
                <w:szCs w:val="21"/>
              </w:rPr>
              <w:sym w:font="Wingdings 2" w:char="0052"/>
            </w:r>
            <w:r>
              <w:rPr>
                <w:rFonts w:hint="eastAsia" w:ascii="宋体" w:hAnsi="宋体"/>
                <w:snapToGrid w:val="0"/>
                <w:color w:val="000000"/>
                <w:kern w:val="0"/>
                <w:sz w:val="18"/>
                <w:szCs w:val="21"/>
              </w:rPr>
              <w:t xml:space="preserve"> </w:t>
            </w:r>
            <w:r>
              <w:rPr>
                <w:rFonts w:hint="eastAsia" w:ascii="宋体" w:hAnsi="宋体"/>
              </w:rPr>
              <w:t xml:space="preserve">受审核方管理体系文件  </w:t>
            </w:r>
            <w:r>
              <w:rPr>
                <w:rFonts w:hint="eastAsia" w:ascii="宋体" w:hAnsi="宋体"/>
                <w:snapToGrid w:val="0"/>
                <w:color w:val="000000"/>
                <w:kern w:val="0"/>
                <w:sz w:val="18"/>
                <w:szCs w:val="21"/>
              </w:rPr>
              <w:sym w:font="Wingdings 2" w:char="0052"/>
            </w:r>
            <w:r>
              <w:rPr>
                <w:rFonts w:hint="eastAsia" w:ascii="宋体" w:hAnsi="宋体"/>
              </w:rPr>
              <w:t xml:space="preserve">适用的法律法规  </w:t>
            </w:r>
            <w:r>
              <w:rPr>
                <w:rFonts w:hint="eastAsia" w:ascii="宋体" w:hAnsi="宋体"/>
              </w:rPr>
              <w:sym w:font="Wingdings 2" w:char="0052"/>
            </w:r>
            <w:r>
              <w:rPr>
                <w:rFonts w:hint="eastAsia" w:ascii="宋体" w:hAnsi="宋体"/>
              </w:rPr>
              <w:t>其他</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0451-2021-HF</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食品安全管理体系：初次认证第（二）阶段</w:t>
            </w:r>
          </w:p>
          <w:p>
            <w:pPr>
              <w:spacing w:line="280" w:lineRule="exact"/>
              <w:rPr>
                <w:rFonts w:hint="eastAsia"/>
                <w:sz w:val="22"/>
                <w:szCs w:val="22"/>
              </w:rPr>
            </w:pPr>
            <w:r>
              <w:rPr>
                <w:rFonts w:hint="eastAsia"/>
                <w:sz w:val="22"/>
                <w:szCs w:val="22"/>
              </w:rPr>
              <w:t>危害分析与关键控制点体系：初次认证第（二）阶段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吴灿华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2021-N0FSMS-1274308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邝柏臣</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2020-N1FSMS-1222839</w:t>
            </w:r>
          </w:p>
          <w:p>
            <w:pPr>
              <w:snapToGrid w:val="0"/>
              <w:spacing w:line="320" w:lineRule="exact"/>
              <w:ind w:left="1309"/>
              <w:rPr>
                <w:sz w:val="22"/>
                <w:szCs w:val="22"/>
                <w:highlight w:val="none"/>
              </w:rPr>
            </w:pPr>
            <w:r>
              <w:rPr>
                <w:sz w:val="22"/>
                <w:szCs w:val="22"/>
                <w:highlight w:val="none"/>
              </w:rPr>
              <w:t>2020-N1HACCP-1222839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2021-05-27上午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2021-05-28下午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5D0E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2021-05-26T09:22:02Z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62FCC0CEE6FD43DC8A13A234FCB0BC3F</vt:lpwstr>
  </property>
</Properties>
</file>