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8"/>
        <w:gridCol w:w="944"/>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负责</w:t>
            </w:r>
            <w:r>
              <w:rPr>
                <w:sz w:val="24"/>
                <w:szCs w:val="24"/>
              </w:rPr>
              <w:t xml:space="preserve">人：明小力   </w:t>
            </w:r>
            <w:r>
              <w:rPr>
                <w:rFonts w:hint="eastAsia"/>
                <w:sz w:val="24"/>
                <w:szCs w:val="24"/>
              </w:rPr>
              <w:t>陪同人员：</w:t>
            </w:r>
            <w:r>
              <w:rPr>
                <w:sz w:val="24"/>
                <w:szCs w:val="24"/>
              </w:rPr>
              <w:t xml:space="preserve"> </w:t>
            </w:r>
            <w:r>
              <w:rPr>
                <w:rFonts w:hint="eastAsia"/>
                <w:sz w:val="24"/>
                <w:szCs w:val="24"/>
              </w:rPr>
              <w:t>黄</w:t>
            </w:r>
            <w:r>
              <w:rPr>
                <w:sz w:val="24"/>
                <w:szCs w:val="24"/>
              </w:rPr>
              <w:t>小环</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pPr>
            <w:r>
              <w:rPr>
                <w:rFonts w:hint="eastAsia"/>
                <w:sz w:val="24"/>
                <w:szCs w:val="24"/>
              </w:rPr>
              <w:t xml:space="preserve">审核员：邝柏臣 </w:t>
            </w:r>
            <w:r>
              <w:rPr>
                <w:sz w:val="24"/>
                <w:szCs w:val="24"/>
              </w:rPr>
              <w:t xml:space="preserve">            </w:t>
            </w:r>
            <w:r>
              <w:rPr>
                <w:rFonts w:hint="eastAsia"/>
                <w:sz w:val="24"/>
                <w:szCs w:val="24"/>
              </w:rPr>
              <w:t>审核日期：202</w:t>
            </w:r>
            <w:r>
              <w:rPr>
                <w:sz w:val="24"/>
                <w:szCs w:val="24"/>
              </w:rPr>
              <w:t>5</w:t>
            </w:r>
            <w:r>
              <w:rPr>
                <w:rFonts w:hint="eastAsia"/>
                <w:sz w:val="24"/>
                <w:szCs w:val="24"/>
              </w:rPr>
              <w:t>-05-27</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sz w:val="24"/>
                <w:szCs w:val="24"/>
              </w:rPr>
            </w:pPr>
            <w:r>
              <w:rPr>
                <w:rFonts w:hint="eastAsia"/>
                <w:sz w:val="24"/>
                <w:szCs w:val="24"/>
              </w:rPr>
              <w:t>审核条款：FSMS：4.1/4.2/4.3/4.4/5.1/5.2/5.3/6.1/6.2/6.3/7.1.1/7.4/9.1.1/</w:t>
            </w:r>
            <w:r>
              <w:rPr>
                <w:sz w:val="24"/>
                <w:szCs w:val="24"/>
              </w:rPr>
              <w:t>9.2/</w:t>
            </w:r>
            <w:r>
              <w:rPr>
                <w:rFonts w:hint="eastAsia"/>
                <w:sz w:val="24"/>
                <w:szCs w:val="24"/>
              </w:rPr>
              <w:t>9.3/10.2/10.3</w:t>
            </w:r>
          </w:p>
          <w:p>
            <w:pPr>
              <w:spacing w:before="120"/>
              <w:ind w:firstLine="1200" w:firstLineChars="500"/>
              <w:rPr>
                <w:sz w:val="24"/>
                <w:szCs w:val="24"/>
              </w:rPr>
            </w:pPr>
            <w:r>
              <w:rPr>
                <w:rFonts w:hint="eastAsia"/>
                <w:sz w:val="24"/>
                <w:szCs w:val="24"/>
              </w:rPr>
              <w:t>H:4.1/4.2.1/4.2.2/5.1/5.2/5.3/</w:t>
            </w:r>
            <w:r>
              <w:rPr>
                <w:sz w:val="24"/>
                <w:szCs w:val="24"/>
              </w:rPr>
              <w:t>5.4</w:t>
            </w:r>
            <w:r>
              <w:rPr>
                <w:rFonts w:hint="eastAsia"/>
                <w:sz w:val="24"/>
                <w:szCs w:val="24"/>
              </w:rPr>
              <w:t>/5.5及GB14881相关条款内容及1.0要求</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gridSpan w:val="2"/>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如：《组织及其环境控制程序》、管理手册第4.1章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t>□</w:t>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rPr>
                    <w:t>列举主要的内容</w:t>
                  </w:r>
                </w:p>
              </w:tc>
              <w:tc>
                <w:tcPr>
                  <w:tcW w:w="7375" w:type="dxa"/>
                </w:tcPr>
                <w:p>
                  <w:r>
                    <w:rPr>
                      <w:rFonts w:hint="eastAsia"/>
                    </w:rPr>
                    <w:t>市场</w:t>
                  </w:r>
                  <w:r>
                    <w:t>竞争激烈</w:t>
                  </w:r>
                  <w:r>
                    <w:rPr>
                      <w:rFonts w:hint="eastAsia"/>
                    </w:rPr>
                    <w:t>、顾客对食品安全比较重视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人员素质参差不齐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r>
                    <w:rPr>
                      <w:rFonts w:hint="eastAsia"/>
                    </w:rPr>
                    <w:t>企业</w:t>
                  </w:r>
                  <w:r>
                    <w:t>上游稳定、</w:t>
                  </w:r>
                  <w:r>
                    <w:rPr>
                      <w:rFonts w:hint="eastAsia"/>
                    </w:rPr>
                    <w:t>食</w:t>
                  </w:r>
                  <w:r>
                    <w:t>材</w:t>
                  </w:r>
                  <w:r>
                    <w:rPr>
                      <w:rFonts w:hint="eastAsia"/>
                    </w:rPr>
                    <w:t>质</w:t>
                  </w:r>
                  <w:r>
                    <w:t>量稳定</w:t>
                  </w:r>
                  <w:r>
                    <w:rPr>
                      <w:rFonts w:hint="eastAsia"/>
                    </w:rPr>
                    <w:t>、和甲方合作多年，建立了良好的信任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rPr>
                    <w:t>因技术要求不高，同行业竞争激烈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szCs w:val="21"/>
                    </w:rPr>
                    <w:t>原料</w:t>
                  </w:r>
                  <w:r>
                    <w:rPr>
                      <w:szCs w:val="21"/>
                    </w:rPr>
                    <w:t>采购环节、大宗采购</w:t>
                  </w:r>
                  <w:r>
                    <w:rPr>
                      <w:rFonts w:hint="eastAsia"/>
                      <w:szCs w:val="21"/>
                    </w:rPr>
                    <w:t>食</w:t>
                  </w:r>
                  <w:r>
                    <w:rPr>
                      <w:szCs w:val="21"/>
                    </w:rPr>
                    <w:t>材货物</w:t>
                  </w:r>
                  <w:r>
                    <w:rPr>
                      <w:rFonts w:hint="eastAsia"/>
                      <w:szCs w:val="21"/>
                    </w:rPr>
                    <w:t>及</w:t>
                  </w:r>
                  <w:r>
                    <w:rPr>
                      <w:szCs w:val="21"/>
                    </w:rPr>
                    <w:t>仓储</w:t>
                  </w:r>
                  <w:r>
                    <w:rPr>
                      <w:rFonts w:hint="eastAsia"/>
                      <w:szCs w:val="21"/>
                    </w:rPr>
                    <w:t>、</w:t>
                  </w:r>
                  <w:r>
                    <w:rPr>
                      <w:rFonts w:hint="eastAsia"/>
                      <w:szCs w:val="24"/>
                    </w:rPr>
                    <w:t>食</w:t>
                  </w:r>
                  <w:r>
                    <w:rPr>
                      <w:szCs w:val="24"/>
                    </w:rPr>
                    <w:t>材农残等食品安全风</w:t>
                  </w:r>
                  <w:r>
                    <w:rPr>
                      <w:rFonts w:hint="eastAsia"/>
                      <w:szCs w:val="24"/>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rPr>
                    <w:t>管理比较正规，会赢得更多的客户。</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其他《风险和机遇评估分析及措施表》</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gridSpan w:val="2"/>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如：《理解相关方的需求和期望控制程序》、管理手册第4.2章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r>
                    <w:rPr>
                      <w:rFonts w:hint="eastAsia"/>
                    </w:rPr>
                    <w:t>厦门</w:t>
                  </w:r>
                  <w:r>
                    <w:t>市海仓区</w:t>
                  </w:r>
                  <w:r>
                    <w:rPr>
                      <w:rFonts w:hint="eastAsia"/>
                    </w:rPr>
                    <w:t>市场</w:t>
                  </w:r>
                  <w:r>
                    <w:t>监</w:t>
                  </w:r>
                  <w:r>
                    <w:rPr>
                      <w:rFonts w:hint="eastAsia"/>
                    </w:rPr>
                    <w:t>督</w:t>
                  </w:r>
                  <w:r>
                    <w:t>管理局</w:t>
                  </w:r>
                </w:p>
              </w:tc>
              <w:tc>
                <w:tcPr>
                  <w:tcW w:w="3611" w:type="dxa"/>
                </w:tcPr>
                <w:p>
                  <w:r>
                    <w:rPr>
                      <w:rFonts w:ascii="Segoe UI Symbol" w:hAnsi="Segoe UI Symbol" w:cs="Segoe UI Symbol"/>
                    </w:rPr>
                    <w:t>☑</w:t>
                  </w:r>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2495" w:type="dxa"/>
                </w:tcPr>
                <w:p>
                  <w:r>
                    <w:rPr>
                      <w:rFonts w:hint="eastAsia"/>
                    </w:rPr>
                    <w:t>厦</w:t>
                  </w:r>
                  <w:r>
                    <w:t>门</w:t>
                  </w:r>
                  <w:r>
                    <w:rPr>
                      <w:rFonts w:hint="eastAsia"/>
                    </w:rPr>
                    <w:t>鑫</w:t>
                  </w:r>
                  <w:r>
                    <w:t>源发粮油食品有限公</w:t>
                  </w:r>
                  <w:r>
                    <w:rPr>
                      <w:rFonts w:hint="eastAsia"/>
                    </w:rPr>
                    <w:t>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r>
                    <w:rPr>
                      <w:rFonts w:hint="eastAsia"/>
                    </w:rPr>
                    <w:t>海沧</w:t>
                  </w:r>
                  <w:r>
                    <w:t>中学、</w:t>
                  </w:r>
                  <w:r>
                    <w:rPr>
                      <w:rFonts w:hint="eastAsia"/>
                    </w:rPr>
                    <w:t>厦</w:t>
                  </w:r>
                  <w:r>
                    <w:t>门国际学校</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学</w:t>
                  </w:r>
                  <w:r>
                    <w:t>校</w:t>
                  </w:r>
                  <w:r>
                    <w:rPr>
                      <w:rFonts w:hint="eastAsia"/>
                    </w:rPr>
                    <w:t>学</w:t>
                  </w:r>
                  <w:r>
                    <w:t>生、企业员工</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明</w:t>
                  </w:r>
                  <w:r>
                    <w:t>小力</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确定食品安全管理体系的范围</w:t>
            </w:r>
          </w:p>
        </w:tc>
        <w:tc>
          <w:tcPr>
            <w:tcW w:w="952" w:type="dxa"/>
            <w:gridSpan w:val="2"/>
            <w:vMerge w:val="restart"/>
          </w:tcPr>
          <w:p>
            <w:r>
              <w:rPr>
                <w:rFonts w:hint="eastAsia"/>
              </w:rPr>
              <w:t>F4.3</w:t>
            </w:r>
          </w:p>
          <w:p>
            <w:r>
              <w:rPr>
                <w:rFonts w:hint="eastAsia"/>
              </w:rPr>
              <w:t>H</w:t>
            </w:r>
            <w:r>
              <w:t>4.1</w:t>
            </w:r>
          </w:p>
        </w:tc>
        <w:tc>
          <w:tcPr>
            <w:tcW w:w="761" w:type="dxa"/>
          </w:tcPr>
          <w:p>
            <w:r>
              <w:rPr>
                <w:rFonts w:hint="eastAsia"/>
              </w:rPr>
              <w:t>文件名称</w:t>
            </w:r>
          </w:p>
        </w:tc>
        <w:tc>
          <w:tcPr>
            <w:tcW w:w="9367" w:type="dxa"/>
          </w:tcPr>
          <w:p>
            <w:r>
              <w:rPr>
                <w:rFonts w:hint="eastAsia"/>
              </w:rPr>
              <w:t>如：管理手册第4.2章和“公司介绍”</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组织考虑了各种内部和外部因素和相关方的要求确定了相关管理体系的范围；如下</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pPr>
                    <w:snapToGrid w:val="0"/>
                    <w:spacing w:line="420" w:lineRule="auto"/>
                    <w:rPr>
                      <w:szCs w:val="21"/>
                    </w:rPr>
                  </w:pPr>
                  <w:r>
                    <w:rPr>
                      <w:rFonts w:hint="eastAsia"/>
                    </w:rPr>
                    <w:t>F：</w:t>
                  </w:r>
                  <w:r>
                    <w:rPr>
                      <w:rFonts w:hint="eastAsia"/>
                      <w:szCs w:val="21"/>
                    </w:rPr>
                    <w:t>位于厦门市海沧区新乐路29号综合楼一层和二层D区</w:t>
                  </w:r>
                  <w:r>
                    <w:rPr>
                      <w:szCs w:val="21"/>
                    </w:rPr>
                    <w:t>厦门好中豪食品科技有限公司</w:t>
                  </w:r>
                  <w:r>
                    <w:rPr>
                      <w:rFonts w:hint="eastAsia"/>
                      <w:szCs w:val="21"/>
                    </w:rPr>
                    <w:t>中央厨房的热食类食品制售（集体用餐配送）</w:t>
                  </w:r>
                </w:p>
                <w:p/>
                <w:p>
                  <w:pPr>
                    <w:snapToGrid w:val="0"/>
                    <w:spacing w:line="420" w:lineRule="auto"/>
                  </w:pPr>
                  <w:r>
                    <w:rPr>
                      <w:rFonts w:hint="eastAsia"/>
                    </w:rPr>
                    <w:t>H：</w:t>
                  </w:r>
                  <w:r>
                    <w:rPr>
                      <w:rFonts w:hint="eastAsia"/>
                      <w:szCs w:val="21"/>
                    </w:rPr>
                    <w:t>位于厦门市海沧区新乐路29号综合楼一层和二层D区</w:t>
                  </w:r>
                  <w:r>
                    <w:rPr>
                      <w:szCs w:val="21"/>
                    </w:rPr>
                    <w:t>厦门好中豪食品科技有限公司</w:t>
                  </w:r>
                  <w:r>
                    <w:rPr>
                      <w:rFonts w:hint="eastAsia"/>
                      <w:szCs w:val="21"/>
                    </w:rPr>
                    <w:t>中央厨房的热食类食品制售（集体用餐配送）</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r>
                    <w:rPr>
                      <w:rFonts w:hint="eastAsia"/>
                    </w:rPr>
                    <w:t>福建省</w:t>
                  </w:r>
                  <w:r>
                    <w:rPr>
                      <w:szCs w:val="21"/>
                    </w:rPr>
                    <w:t>厦门市海沧区新乐路29号综合楼一层和二层D区</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r>
                    <w:rPr>
                      <w:rFonts w:hint="eastAsia"/>
                    </w:rPr>
                    <w:sym w:font="Wingdings" w:char="00FE"/>
                  </w:r>
                  <w:r>
                    <w:rPr>
                      <w:rFonts w:hint="eastAsia"/>
                    </w:rPr>
                    <w:t xml:space="preserve"> 体系建立以来：2020-06-01</w:t>
                  </w:r>
                </w:p>
                <w:p>
                  <w:r>
                    <w:rPr>
                      <w:rFonts w:hint="eastAsia"/>
                    </w:rPr>
                    <w:sym w:font="Wingdings" w:char="00A8"/>
                  </w:r>
                </w:p>
              </w:tc>
              <w:tc>
                <w:tcPr>
                  <w:tcW w:w="3015" w:type="dxa"/>
                </w:tcPr>
                <w:p/>
              </w:tc>
            </w:tr>
          </w:tbl>
          <w:p/>
          <w:p>
            <w:pPr>
              <w:rPr>
                <w:color w:val="000000"/>
                <w:szCs w:val="21"/>
              </w:rPr>
            </w:pPr>
            <w:r>
              <w:rPr>
                <w:rFonts w:hint="eastAsia"/>
                <w:color w:val="000000"/>
                <w:szCs w:val="21"/>
              </w:rPr>
              <w:t>在企业的管理手册中有描述。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食品安全管理体系</w:t>
            </w:r>
          </w:p>
        </w:tc>
        <w:tc>
          <w:tcPr>
            <w:tcW w:w="952" w:type="dxa"/>
            <w:gridSpan w:val="2"/>
            <w:vMerge w:val="restart"/>
          </w:tcPr>
          <w:p>
            <w:r>
              <w:rPr>
                <w:rFonts w:hint="eastAsia"/>
              </w:rPr>
              <w:t xml:space="preserve">F4.4 </w:t>
            </w:r>
          </w:p>
          <w:p>
            <w:r>
              <w:rPr>
                <w:rFonts w:hint="eastAsia"/>
              </w:rPr>
              <w:t>H</w:t>
            </w:r>
            <w:r>
              <w:t>4.2.1</w:t>
            </w:r>
          </w:p>
          <w:p>
            <w:r>
              <w:rPr>
                <w:rFonts w:hint="eastAsia"/>
              </w:rPr>
              <w:t>H</w:t>
            </w:r>
            <w:r>
              <w:t>4.2.2</w:t>
            </w:r>
          </w:p>
        </w:tc>
        <w:tc>
          <w:tcPr>
            <w:tcW w:w="761" w:type="dxa"/>
          </w:tcPr>
          <w:p>
            <w:r>
              <w:rPr>
                <w:rFonts w:hint="eastAsia"/>
              </w:rPr>
              <w:t>文件名称</w:t>
            </w:r>
          </w:p>
        </w:tc>
        <w:tc>
          <w:tcPr>
            <w:tcW w:w="9367" w:type="dxa"/>
          </w:tcPr>
          <w:p>
            <w:r>
              <w:rPr>
                <w:rFonts w:hint="eastAsia"/>
              </w:rPr>
              <w:t>如：管理手册第4.4章和《过程清单》</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□设备维修   □人员培训 □PRP和OPRP、HACCP验证 ☑其他</w:t>
            </w:r>
            <w:r>
              <w:rPr>
                <w:rFonts w:hint="eastAsia"/>
                <w:u w:val="single"/>
              </w:rPr>
              <w:t xml:space="preserve">（虫害消杀） </w:t>
            </w:r>
            <w:r>
              <w:rPr>
                <w:rFonts w:hint="eastAsia"/>
              </w:rPr>
              <w:t xml:space="preserve"> </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领导作用与承诺</w:t>
            </w:r>
          </w:p>
        </w:tc>
        <w:tc>
          <w:tcPr>
            <w:tcW w:w="952" w:type="dxa"/>
            <w:gridSpan w:val="2"/>
            <w:vMerge w:val="restart"/>
          </w:tcPr>
          <w:p>
            <w:r>
              <w:rPr>
                <w:rFonts w:hint="eastAsia"/>
              </w:rPr>
              <w:t>F5.1</w:t>
            </w:r>
          </w:p>
          <w:p>
            <w:r>
              <w:rPr>
                <w:rFonts w:hint="eastAsia"/>
              </w:rPr>
              <w:t>H</w:t>
            </w:r>
            <w:r>
              <w:t>5.1</w:t>
            </w:r>
          </w:p>
        </w:tc>
        <w:tc>
          <w:tcPr>
            <w:tcW w:w="761" w:type="dxa"/>
          </w:tcPr>
          <w:p>
            <w:r>
              <w:rPr>
                <w:rFonts w:hint="eastAsia"/>
              </w:rPr>
              <w:t>文件名称</w:t>
            </w:r>
          </w:p>
        </w:tc>
        <w:tc>
          <w:tcPr>
            <w:tcW w:w="9367" w:type="dxa"/>
          </w:tcPr>
          <w:p>
            <w:r>
              <w:rPr>
                <w:rFonts w:hint="eastAsia"/>
              </w:rPr>
              <w:t>如：管理手册第5.1章和“总经理岗位职责”</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shd w:val="clear" w:color="FFFFFF" w:fill="D9D9D9"/>
              </w:rPr>
            </w:pPr>
            <w:r>
              <w:rPr>
                <w:rFonts w:hint="eastAsia"/>
                <w:color w:val="000000"/>
                <w:szCs w:val="21"/>
                <w:shd w:val="clear" w:color="FFFFFF" w:fill="D9D9D9"/>
              </w:rPr>
              <w:t>2006版标准：</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表明组织的经营目标支持食品安全</w:t>
            </w:r>
            <w:r>
              <w:rPr>
                <w:rFonts w:hint="eastAsia" w:ascii="黑体" w:hAnsi="宋体" w:eastAsia="黑体"/>
                <w:color w:val="000000"/>
                <w:szCs w:val="21"/>
              </w:rPr>
              <w:t>；</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向组织传达满足与食品安全相关的法律法规、本准则以及顾客要求的重要性</w:t>
            </w:r>
            <w:r>
              <w:rPr>
                <w:rFonts w:hint="eastAsia" w:ascii="黑体" w:hAnsi="宋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制定食品安全方针</w:t>
            </w:r>
            <w:r>
              <w:rPr>
                <w:rFonts w:hint="eastAsia" w:ascii="黑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进行管理评审</w:t>
            </w:r>
            <w:r>
              <w:rPr>
                <w:rFonts w:hint="eastAsia" w:ascii="黑体" w:eastAsia="黑体"/>
                <w:color w:val="000000"/>
                <w:szCs w:val="21"/>
              </w:rPr>
              <w:t>；</w:t>
            </w:r>
          </w:p>
          <w:p>
            <w:pPr>
              <w:snapToGrid w:val="0"/>
              <w:spacing w:line="240" w:lineRule="atLeast"/>
              <w:rPr>
                <w:b/>
                <w:bCs/>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确保资源的获得。</w:t>
            </w:r>
          </w:p>
          <w:p>
            <w:pPr>
              <w:rPr>
                <w:color w:val="000000"/>
                <w:szCs w:val="21"/>
              </w:rPr>
            </w:pPr>
            <w:r>
              <w:rPr>
                <w:rFonts w:hint="eastAsia"/>
                <w:color w:val="000000"/>
                <w:szCs w:val="21"/>
              </w:rPr>
              <w:sym w:font="Wingdings" w:char="00A8"/>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食品安全方针</w:t>
            </w:r>
          </w:p>
        </w:tc>
        <w:tc>
          <w:tcPr>
            <w:tcW w:w="952" w:type="dxa"/>
            <w:gridSpan w:val="2"/>
            <w:vMerge w:val="restart"/>
          </w:tcPr>
          <w:p>
            <w:r>
              <w:rPr>
                <w:rFonts w:hint="eastAsia"/>
              </w:rPr>
              <w:t>F5.2 </w:t>
            </w:r>
          </w:p>
          <w:p>
            <w:r>
              <w:rPr>
                <w:rFonts w:hint="eastAsia"/>
              </w:rPr>
              <w:t>H</w:t>
            </w:r>
            <w:r>
              <w:t>5.2</w:t>
            </w:r>
          </w:p>
        </w:tc>
        <w:tc>
          <w:tcPr>
            <w:tcW w:w="761" w:type="dxa"/>
          </w:tcPr>
          <w:p>
            <w:r>
              <w:rPr>
                <w:rFonts w:hint="eastAsia"/>
              </w:rPr>
              <w:t>文件名称</w:t>
            </w:r>
          </w:p>
        </w:tc>
        <w:tc>
          <w:tcPr>
            <w:tcW w:w="9367" w:type="dxa"/>
          </w:tcPr>
          <w:p>
            <w:r>
              <w:rPr>
                <w:rFonts w:hint="eastAsia"/>
              </w:rPr>
              <w:t>如：管理手册第5.2章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szCs w:val="21"/>
                <w:u w:val="single"/>
              </w:rPr>
            </w:pPr>
            <w:r>
              <w:rPr>
                <w:rFonts w:hint="eastAsia"/>
                <w:color w:val="000000"/>
                <w:szCs w:val="21"/>
              </w:rPr>
              <w:t xml:space="preserve"> </w:t>
            </w:r>
            <w:r>
              <w:rPr>
                <w:rFonts w:hint="eastAsia"/>
              </w:rPr>
              <w:t>最</w:t>
            </w:r>
            <w:r>
              <w:rPr>
                <w:rFonts w:hint="eastAsia"/>
                <w:szCs w:val="21"/>
              </w:rPr>
              <w:t>高管理者制定了文件化的食品安全体系方针：</w:t>
            </w:r>
          </w:p>
          <w:p>
            <w:pPr>
              <w:autoSpaceDE w:val="0"/>
              <w:autoSpaceDN w:val="0"/>
              <w:spacing w:line="440" w:lineRule="exact"/>
              <w:rPr>
                <w:b/>
                <w:bCs/>
                <w:color w:val="000000"/>
                <w:szCs w:val="21"/>
                <w:u w:val="single"/>
              </w:rPr>
            </w:pPr>
            <w:r>
              <w:rPr>
                <w:rFonts w:hint="eastAsia"/>
                <w:szCs w:val="21"/>
                <w:u w:val="single"/>
              </w:rPr>
              <w:t xml:space="preserve">   </w:t>
            </w:r>
            <w:r>
              <w:rPr>
                <w:rFonts w:hint="eastAsia" w:ascii="宋体" w:hAnsi="宋体" w:cs="宋体"/>
                <w:bCs/>
                <w:szCs w:val="21"/>
                <w:u w:val="single"/>
              </w:rPr>
              <w:t>优质生产，安全放心，科学管理，持续改进，顾客满意。</w:t>
            </w:r>
            <w:r>
              <w:rPr>
                <w:rFonts w:hint="eastAsia"/>
                <w:szCs w:val="21"/>
                <w:u w:val="single"/>
              </w:rPr>
              <w:t xml:space="preserve"> </w:t>
            </w:r>
            <w:r>
              <w:rPr>
                <w:rFonts w:hint="eastAsia"/>
                <w:b/>
                <w:bCs/>
                <w:color w:val="000000"/>
                <w:szCs w:val="21"/>
                <w:u w:val="single"/>
              </w:rPr>
              <w:t xml:space="preserve"> </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组织的角色、职责和权限</w:t>
            </w:r>
          </w:p>
          <w:p/>
        </w:tc>
        <w:tc>
          <w:tcPr>
            <w:tcW w:w="952" w:type="dxa"/>
            <w:gridSpan w:val="2"/>
            <w:vMerge w:val="restart"/>
          </w:tcPr>
          <w:p>
            <w:r>
              <w:rPr>
                <w:rFonts w:hint="eastAsia"/>
              </w:rPr>
              <w:t>F5.3  </w:t>
            </w:r>
          </w:p>
          <w:p>
            <w:r>
              <w:rPr>
                <w:rFonts w:hint="eastAsia"/>
              </w:rPr>
              <w:t>H</w:t>
            </w:r>
            <w:r>
              <w:t>5.3</w:t>
            </w:r>
          </w:p>
        </w:tc>
        <w:tc>
          <w:tcPr>
            <w:tcW w:w="761" w:type="dxa"/>
          </w:tcPr>
          <w:p>
            <w:r>
              <w:rPr>
                <w:rFonts w:hint="eastAsia"/>
              </w:rPr>
              <w:t>文件名称</w:t>
            </w:r>
          </w:p>
        </w:tc>
        <w:tc>
          <w:tcPr>
            <w:tcW w:w="9367" w:type="dxa"/>
          </w:tcPr>
          <w:p>
            <w:r>
              <w:rPr>
                <w:rFonts w:hint="eastAsia"/>
              </w:rPr>
              <w:t>如：管理手册第5.3章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运营部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综合部</w:t>
                  </w:r>
                </w:p>
              </w:tc>
              <w:tc>
                <w:tcPr>
                  <w:tcW w:w="2261" w:type="dxa"/>
                </w:tcPr>
                <w:p>
                  <w:r>
                    <w:rPr>
                      <w:rFonts w:hint="eastAsia"/>
                    </w:rPr>
                    <w:t>基础设施</w:t>
                  </w:r>
                </w:p>
              </w:tc>
              <w:tc>
                <w:tcPr>
                  <w:tcW w:w="2261" w:type="dxa"/>
                </w:tcPr>
                <w:p>
                  <w:r>
                    <w:rPr>
                      <w:rFonts w:hint="eastAsia"/>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A8"/>
            </w:r>
            <w:r>
              <w:rPr>
                <w:rFonts w:hint="eastAsia"/>
              </w:rPr>
              <w:t>HACCP小组长：</w:t>
            </w:r>
            <w:r>
              <w:rPr>
                <w:rFonts w:hint="eastAsia"/>
                <w:u w:val="single"/>
              </w:rPr>
              <w:t xml:space="preserve">  黄</w:t>
            </w:r>
            <w:r>
              <w:rPr>
                <w:u w:val="single"/>
              </w:rPr>
              <w:t>小环</w:t>
            </w:r>
            <w:r>
              <w:rPr>
                <w:rFonts w:hint="eastAsia"/>
                <w:u w:val="single"/>
              </w:rPr>
              <w:t xml:space="preserve"> 先生 </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gridSpan w:val="2"/>
            <w:vMerge w:val="restart"/>
          </w:tcPr>
          <w:p>
            <w:r>
              <w:rPr>
                <w:rFonts w:hint="eastAsia"/>
                <w:color w:val="000000"/>
                <w:szCs w:val="21"/>
              </w:rPr>
              <w:t>F6.1.1  </w:t>
            </w:r>
          </w:p>
        </w:tc>
        <w:tc>
          <w:tcPr>
            <w:tcW w:w="761" w:type="dxa"/>
          </w:tcPr>
          <w:p>
            <w:r>
              <w:rPr>
                <w:rFonts w:hint="eastAsia"/>
              </w:rPr>
              <w:t>文件名称</w:t>
            </w:r>
          </w:p>
        </w:tc>
        <w:tc>
          <w:tcPr>
            <w:tcW w:w="9367" w:type="dxa"/>
          </w:tcPr>
          <w:p>
            <w:r>
              <w:rPr>
                <w:rFonts w:hint="eastAsia"/>
              </w:rPr>
              <w:t>如：《</w:t>
            </w:r>
            <w:r>
              <w:rPr>
                <w:rFonts w:hint="eastAsia"/>
                <w:color w:val="000000"/>
                <w:szCs w:val="21"/>
              </w:rPr>
              <w:t>应对风险和机遇</w:t>
            </w:r>
            <w:r>
              <w:rPr>
                <w:rFonts w:hint="eastAsia"/>
              </w:rPr>
              <w:t>控制程序》、手册第6.1条款</w:t>
            </w:r>
          </w:p>
        </w:tc>
        <w:tc>
          <w:tcPr>
            <w:tcW w:w="1590" w:type="dxa"/>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gridSpan w:val="2"/>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1"/>
                    </w:rPr>
                  </w:pPr>
                  <w:r>
                    <w:rPr>
                      <w:rFonts w:hint="eastAsia"/>
                      <w:szCs w:val="21"/>
                    </w:rPr>
                    <w:t>原料</w:t>
                  </w:r>
                  <w:r>
                    <w:rPr>
                      <w:szCs w:val="21"/>
                    </w:rPr>
                    <w:t>采购环节、大宗采购</w:t>
                  </w:r>
                  <w:r>
                    <w:rPr>
                      <w:rFonts w:hint="eastAsia"/>
                      <w:szCs w:val="21"/>
                    </w:rPr>
                    <w:t>食</w:t>
                  </w:r>
                  <w:r>
                    <w:rPr>
                      <w:szCs w:val="21"/>
                    </w:rPr>
                    <w:t>材货物</w:t>
                  </w:r>
                  <w:r>
                    <w:rPr>
                      <w:rFonts w:hint="eastAsia"/>
                      <w:szCs w:val="21"/>
                    </w:rPr>
                    <w:t>及</w:t>
                  </w:r>
                  <w:r>
                    <w:rPr>
                      <w:szCs w:val="21"/>
                    </w:rPr>
                    <w:t>仓储</w:t>
                  </w:r>
                </w:p>
              </w:tc>
              <w:tc>
                <w:tcPr>
                  <w:tcW w:w="3421" w:type="dxa"/>
                  <w:vAlign w:val="center"/>
                </w:tcPr>
                <w:p>
                  <w:pPr>
                    <w:widowControl/>
                    <w:jc w:val="left"/>
                    <w:textAlignment w:val="center"/>
                    <w:rPr>
                      <w:szCs w:val="21"/>
                    </w:rPr>
                  </w:pPr>
                  <w:r>
                    <w:rPr>
                      <w:rFonts w:hint="eastAsia"/>
                      <w:szCs w:val="21"/>
                    </w:rPr>
                    <w:t>内</w:t>
                  </w:r>
                  <w:r>
                    <w:rPr>
                      <w:szCs w:val="21"/>
                    </w:rPr>
                    <w:t>部</w:t>
                  </w:r>
                  <w:r>
                    <w:rPr>
                      <w:rFonts w:hint="eastAsia"/>
                      <w:szCs w:val="21"/>
                    </w:rPr>
                    <w:t>验</w:t>
                  </w:r>
                  <w:r>
                    <w:rPr>
                      <w:szCs w:val="21"/>
                    </w:rPr>
                    <w:t>收管</w:t>
                  </w:r>
                  <w:r>
                    <w:rPr>
                      <w:rFonts w:hint="eastAsia"/>
                      <w:szCs w:val="21"/>
                    </w:rPr>
                    <w:t>控、加</w:t>
                  </w:r>
                  <w:r>
                    <w:rPr>
                      <w:szCs w:val="21"/>
                    </w:rPr>
                    <w:t>强分拣挑选</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食</w:t>
                  </w:r>
                  <w:r>
                    <w:rPr>
                      <w:szCs w:val="24"/>
                    </w:rPr>
                    <w:t>材农残等食品安全风</w:t>
                  </w:r>
                  <w:r>
                    <w:rPr>
                      <w:rFonts w:hint="eastAsia"/>
                      <w:szCs w:val="24"/>
                    </w:rPr>
                    <w:t>险</w:t>
                  </w:r>
                </w:p>
              </w:tc>
              <w:tc>
                <w:tcPr>
                  <w:tcW w:w="3421" w:type="dxa"/>
                  <w:vAlign w:val="center"/>
                </w:tcPr>
                <w:p>
                  <w:pPr>
                    <w:widowControl/>
                    <w:jc w:val="left"/>
                    <w:textAlignment w:val="center"/>
                  </w:pPr>
                  <w:r>
                    <w:rPr>
                      <w:rFonts w:hint="eastAsia"/>
                    </w:rPr>
                    <w:t>索</w:t>
                  </w:r>
                  <w:r>
                    <w:t>证及</w:t>
                  </w:r>
                  <w:r>
                    <w:rPr>
                      <w:rFonts w:hint="eastAsia"/>
                    </w:rPr>
                    <w:t>加强供</w:t>
                  </w:r>
                  <w:r>
                    <w:t>方</w:t>
                  </w:r>
                  <w:r>
                    <w:rPr>
                      <w:rFonts w:hint="eastAsia"/>
                    </w:rPr>
                    <w:t>资</w:t>
                  </w:r>
                  <w:r>
                    <w:t>质评审</w:t>
                  </w:r>
                </w:p>
              </w:tc>
              <w:tc>
                <w:tcPr>
                  <w:tcW w:w="2080" w:type="dxa"/>
                </w:tcPr>
                <w:p>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人</w:t>
                  </w:r>
                  <w:r>
                    <w:rPr>
                      <w:szCs w:val="24"/>
                    </w:rPr>
                    <w:t>员</w:t>
                  </w:r>
                  <w:r>
                    <w:rPr>
                      <w:rFonts w:hint="eastAsia"/>
                      <w:szCs w:val="24"/>
                    </w:rPr>
                    <w:t>健康管</w:t>
                  </w:r>
                  <w:r>
                    <w:rPr>
                      <w:szCs w:val="24"/>
                    </w:rPr>
                    <w:t>理</w:t>
                  </w:r>
                </w:p>
              </w:tc>
              <w:tc>
                <w:tcPr>
                  <w:tcW w:w="3421" w:type="dxa"/>
                  <w:vAlign w:val="center"/>
                </w:tcPr>
                <w:p>
                  <w:pPr>
                    <w:widowControl/>
                    <w:jc w:val="left"/>
                    <w:textAlignment w:val="center"/>
                  </w:pPr>
                  <w:r>
                    <w:rPr>
                      <w:rFonts w:hint="eastAsia"/>
                    </w:rPr>
                    <w:t>人</w:t>
                  </w:r>
                  <w:r>
                    <w:t>员</w:t>
                  </w:r>
                  <w:r>
                    <w:rPr>
                      <w:rFonts w:hint="eastAsia"/>
                    </w:rPr>
                    <w:t>体</w:t>
                  </w:r>
                  <w:r>
                    <w:t>验及</w:t>
                  </w:r>
                  <w:r>
                    <w:rPr>
                      <w:rFonts w:hint="eastAsia"/>
                    </w:rPr>
                    <w:t>提</w:t>
                  </w:r>
                  <w:r>
                    <w:t>供健康证</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食</w:t>
                  </w:r>
                  <w:r>
                    <w:rPr>
                      <w:szCs w:val="24"/>
                    </w:rPr>
                    <w:t>材</w:t>
                  </w:r>
                  <w:r>
                    <w:rPr>
                      <w:rFonts w:hint="eastAsia"/>
                      <w:szCs w:val="24"/>
                    </w:rPr>
                    <w:t>的</w:t>
                  </w:r>
                  <w:r>
                    <w:rPr>
                      <w:szCs w:val="24"/>
                    </w:rPr>
                    <w:t>中心</w:t>
                  </w:r>
                  <w:r>
                    <w:rPr>
                      <w:rFonts w:hint="eastAsia"/>
                      <w:szCs w:val="24"/>
                    </w:rPr>
                    <w:t>温</w:t>
                  </w:r>
                  <w:r>
                    <w:rPr>
                      <w:szCs w:val="24"/>
                    </w:rPr>
                    <w:t>度</w:t>
                  </w:r>
                  <w:r>
                    <w:rPr>
                      <w:rFonts w:hint="eastAsia"/>
                      <w:szCs w:val="24"/>
                    </w:rPr>
                    <w:t>抽</w:t>
                  </w:r>
                  <w:r>
                    <w:rPr>
                      <w:szCs w:val="24"/>
                    </w:rPr>
                    <w:t>查</w:t>
                  </w:r>
                </w:p>
              </w:tc>
              <w:tc>
                <w:tcPr>
                  <w:tcW w:w="3421" w:type="dxa"/>
                  <w:vAlign w:val="center"/>
                </w:tcPr>
                <w:p>
                  <w:pPr>
                    <w:widowControl/>
                    <w:jc w:val="left"/>
                    <w:textAlignment w:val="center"/>
                  </w:pPr>
                  <w:r>
                    <w:rPr>
                      <w:rFonts w:hint="eastAsia"/>
                    </w:rPr>
                    <w:t>厨</w:t>
                  </w:r>
                  <w:r>
                    <w:t>师长</w:t>
                  </w:r>
                  <w:r>
                    <w:rPr>
                      <w:rFonts w:hint="eastAsia"/>
                    </w:rPr>
                    <w:t>车</w:t>
                  </w:r>
                  <w:r>
                    <w:t>间巡视抽查</w:t>
                  </w:r>
                </w:p>
              </w:tc>
              <w:tc>
                <w:tcPr>
                  <w:tcW w:w="2080" w:type="dxa"/>
                </w:tcPr>
                <w:p>
                  <w:pPr>
                    <w:rPr>
                      <w:szCs w:val="21"/>
                    </w:rPr>
                  </w:pPr>
                  <w:r>
                    <w:rPr>
                      <w:rFonts w:hint="eastAsia"/>
                      <w:szCs w:val="21"/>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因本公司的管理比较严格</w:t>
                  </w:r>
                </w:p>
              </w:tc>
              <w:tc>
                <w:tcPr>
                  <w:tcW w:w="3760" w:type="dxa"/>
                </w:tcPr>
                <w:p>
                  <w:r>
                    <w:rPr>
                      <w:rFonts w:hint="eastAsia"/>
                    </w:rPr>
                    <w:t>加强食品安全的日常监督管理</w:t>
                  </w:r>
                </w:p>
              </w:tc>
              <w:tc>
                <w:tcPr>
                  <w:tcW w:w="2071"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pPr>
                    <w:rPr>
                      <w:szCs w:val="24"/>
                    </w:rPr>
                  </w:pPr>
                </w:p>
              </w:tc>
              <w:tc>
                <w:tcPr>
                  <w:tcW w:w="3760"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vMerge w:val="continue"/>
          </w:tcPr>
          <w:p/>
        </w:tc>
        <w:tc>
          <w:tcPr>
            <w:tcW w:w="761" w:type="dxa"/>
          </w:tcPr>
          <w:p/>
        </w:tc>
        <w:tc>
          <w:tcPr>
            <w:tcW w:w="9367" w:type="dxa"/>
          </w:tc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tcPr>
          <w:p>
            <w:r>
              <w:rPr>
                <w:rFonts w:hint="eastAsia"/>
                <w:color w:val="000000"/>
                <w:szCs w:val="21"/>
              </w:rPr>
              <w:t>F6.1.2  </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解决这些风险和机遇的行动;——企业提供了《风险和机遇评估分析及措施表》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gridSpan w:val="2"/>
          </w:tcPr>
          <w:p>
            <w:r>
              <w:rPr>
                <w:rFonts w:hint="eastAsia"/>
                <w:color w:val="000000"/>
                <w:szCs w:val="21"/>
              </w:rPr>
              <w:t>F6.1.3 </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gridSpan w:val="2"/>
            <w:vMerge w:val="restart"/>
          </w:tcPr>
          <w:p>
            <w:r>
              <w:rPr>
                <w:rFonts w:hint="eastAsia"/>
                <w:color w:val="000000"/>
                <w:szCs w:val="21"/>
              </w:rPr>
              <w:t>F6.2 </w:t>
            </w:r>
          </w:p>
        </w:tc>
        <w:tc>
          <w:tcPr>
            <w:tcW w:w="761" w:type="dxa"/>
          </w:tcPr>
          <w:p>
            <w:r>
              <w:rPr>
                <w:rFonts w:hint="eastAsia"/>
              </w:rPr>
              <w:t>文件名称</w:t>
            </w:r>
          </w:p>
        </w:tc>
        <w:tc>
          <w:tcPr>
            <w:tcW w:w="9367" w:type="dxa"/>
          </w:tcPr>
          <w:p>
            <w:r>
              <w:rPr>
                <w:rFonts w:hint="eastAsia"/>
              </w:rPr>
              <w:t>如：手册第6.2条款、《</w:t>
            </w:r>
            <w:r>
              <w:rPr>
                <w:rFonts w:hint="eastAsia"/>
                <w:color w:val="000000"/>
                <w:szCs w:val="21"/>
              </w:rPr>
              <w:t>食品安全目标</w:t>
            </w:r>
            <w:r>
              <w:rPr>
                <w:rFonts w:hint="eastAsia"/>
              </w:rPr>
              <w:t>》、《分解目标》</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52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96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177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rFonts w:asciiTheme="minorEastAsia" w:hAnsiTheme="minorEastAsia" w:eastAsiaTheme="minorEastAsia"/>
                      <w:color w:val="000000"/>
                      <w:szCs w:val="21"/>
                    </w:rPr>
                  </w:pPr>
                  <w:r>
                    <w:rPr>
                      <w:rFonts w:hint="eastAsia" w:cs="宋体" w:asciiTheme="minorEastAsia" w:hAnsiTheme="minorEastAsia" w:eastAsiaTheme="minorEastAsia"/>
                      <w:bCs/>
                      <w:szCs w:val="21"/>
                    </w:rPr>
                    <w:t>食品安全事故为零</w:t>
                  </w:r>
                </w:p>
              </w:tc>
              <w:tc>
                <w:tcPr>
                  <w:tcW w:w="1521" w:type="dxa"/>
                  <w:shd w:val="clear" w:color="auto" w:fill="auto"/>
                </w:tcPr>
                <w:p>
                  <w:pPr>
                    <w:widowControl/>
                    <w:spacing w:before="40"/>
                    <w:jc w:val="left"/>
                    <w:rPr>
                      <w:rFonts w:asciiTheme="minorEastAsia" w:hAnsiTheme="minorEastAsia" w:eastAsiaTheme="minorEastAsia"/>
                      <w:color w:val="000000"/>
                      <w:szCs w:val="21"/>
                      <w:lang w:val="en-GB"/>
                    </w:rPr>
                  </w:pPr>
                  <w:r>
                    <w:rPr>
                      <w:rFonts w:hint="eastAsia" w:asciiTheme="minorEastAsia" w:hAnsiTheme="minorEastAsia" w:eastAsiaTheme="minorEastAsia"/>
                      <w:color w:val="000000"/>
                      <w:szCs w:val="21"/>
                    </w:rPr>
                    <w:t>每年</w:t>
                  </w:r>
                </w:p>
              </w:tc>
              <w:tc>
                <w:tcPr>
                  <w:tcW w:w="2965" w:type="dxa"/>
                  <w:shd w:val="clear" w:color="auto" w:fill="auto"/>
                </w:tcPr>
                <w:p>
                  <w:pPr>
                    <w:widowControl/>
                    <w:spacing w:before="40"/>
                    <w:jc w:val="left"/>
                    <w:rPr>
                      <w:rFonts w:asciiTheme="minorEastAsia" w:hAnsiTheme="minorEastAsia" w:eastAsiaTheme="minorEastAsia"/>
                      <w:color w:val="000000"/>
                      <w:szCs w:val="21"/>
                      <w:lang w:val="en-GB"/>
                    </w:rPr>
                  </w:pPr>
                  <w:r>
                    <w:rPr>
                      <w:rFonts w:hint="eastAsia" w:asciiTheme="minorEastAsia" w:hAnsiTheme="minorEastAsia" w:eastAsiaTheme="minorEastAsia"/>
                      <w:color w:val="000000"/>
                      <w:szCs w:val="21"/>
                    </w:rPr>
                    <w:t>按</w:t>
                  </w:r>
                  <w:r>
                    <w:rPr>
                      <w:rFonts w:asciiTheme="minorEastAsia" w:hAnsiTheme="minorEastAsia" w:eastAsiaTheme="minorEastAsia"/>
                      <w:color w:val="000000"/>
                      <w:szCs w:val="21"/>
                    </w:rPr>
                    <w:t>实</w:t>
                  </w:r>
                  <w:r>
                    <w:rPr>
                      <w:rFonts w:hint="eastAsia" w:asciiTheme="minorEastAsia" w:hAnsiTheme="minorEastAsia" w:eastAsiaTheme="minorEastAsia"/>
                      <w:color w:val="000000"/>
                      <w:szCs w:val="21"/>
                    </w:rPr>
                    <w:t>际</w:t>
                  </w:r>
                  <w:r>
                    <w:rPr>
                      <w:rFonts w:asciiTheme="minorEastAsia" w:hAnsiTheme="minorEastAsia" w:eastAsiaTheme="minorEastAsia"/>
                      <w:color w:val="000000"/>
                      <w:szCs w:val="21"/>
                    </w:rPr>
                    <w:t>发</w:t>
                  </w:r>
                  <w:r>
                    <w:rPr>
                      <w:rFonts w:hint="eastAsia" w:asciiTheme="minorEastAsia" w:hAnsiTheme="minorEastAsia" w:eastAsiaTheme="minorEastAsia"/>
                      <w:color w:val="000000"/>
                      <w:szCs w:val="21"/>
                    </w:rPr>
                    <w:t>生</w:t>
                  </w:r>
                  <w:r>
                    <w:rPr>
                      <w:rFonts w:asciiTheme="minorEastAsia" w:hAnsiTheme="minorEastAsia" w:eastAsiaTheme="minorEastAsia"/>
                      <w:color w:val="000000"/>
                      <w:szCs w:val="21"/>
                    </w:rPr>
                    <w:t>次数</w:t>
                  </w:r>
                </w:p>
              </w:tc>
              <w:tc>
                <w:tcPr>
                  <w:tcW w:w="1774" w:type="dxa"/>
                  <w:shd w:val="clear" w:color="auto" w:fill="auto"/>
                </w:tcPr>
                <w:p>
                  <w:pPr>
                    <w:widowControl/>
                    <w:spacing w:before="40"/>
                    <w:jc w:val="left"/>
                    <w:rPr>
                      <w:rFonts w:asciiTheme="minorEastAsia" w:hAnsiTheme="minorEastAsia" w:eastAsiaTheme="minorEastAsia"/>
                      <w:color w:val="000000"/>
                      <w:szCs w:val="21"/>
                      <w:lang w:val="en-GB"/>
                    </w:rPr>
                  </w:pPr>
                  <w:r>
                    <w:rPr>
                      <w:rFonts w:hint="eastAsia" w:asciiTheme="minorEastAsia" w:hAnsiTheme="minorEastAsia" w:eastAsiaTheme="minorEastAsia"/>
                      <w:color w:val="000000"/>
                      <w:szCs w:val="21"/>
                    </w:rPr>
                    <w:t>未</w:t>
                  </w:r>
                  <w:r>
                    <w:rPr>
                      <w:rFonts w:asciiTheme="minorEastAsia" w:hAnsiTheme="minorEastAsia" w:eastAsiaTheme="minorEastAsia"/>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auto"/>
                    <w:jc w:val="left"/>
                    <w:rPr>
                      <w:rFonts w:hint="eastAsia" w:ascii="宋体" w:hAnsi="宋体" w:eastAsia="宋体" w:cs="宋体"/>
                      <w:kern w:val="2"/>
                      <w:sz w:val="21"/>
                      <w:szCs w:val="21"/>
                      <w:lang w:val="en-US" w:eastAsia="zh-CN" w:bidi="ar-SA"/>
                    </w:rPr>
                  </w:pPr>
                  <w:r>
                    <w:rPr>
                      <w:rFonts w:hint="eastAsia"/>
                      <w:bCs/>
                      <w:sz w:val="21"/>
                      <w:szCs w:val="21"/>
                    </w:rPr>
                    <w:t>关键控制点监控合格率</w:t>
                  </w:r>
                </w:p>
              </w:tc>
              <w:tc>
                <w:tcPr>
                  <w:tcW w:w="152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每年</w:t>
                  </w:r>
                  <w:bookmarkStart w:id="0" w:name="_GoBack"/>
                  <w:bookmarkEnd w:id="0"/>
                </w:p>
              </w:tc>
              <w:tc>
                <w:tcPr>
                  <w:tcW w:w="2965" w:type="dxa"/>
                  <w:shd w:val="clear" w:color="auto" w:fill="auto"/>
                </w:tcPr>
                <w:p>
                  <w:pPr>
                    <w:widowControl/>
                    <w:spacing w:before="40"/>
                    <w:jc w:val="left"/>
                    <w:rPr>
                      <w:rFonts w:asciiTheme="minorEastAsia" w:hAnsiTheme="minorEastAsia" w:eastAsiaTheme="minorEastAsia"/>
                      <w:color w:val="000000"/>
                      <w:szCs w:val="21"/>
                    </w:rPr>
                  </w:pPr>
                  <w:r>
                    <w:rPr>
                      <w:rFonts w:hint="eastAsia" w:ascii="Times New Roman" w:hAnsi="Times New Roman" w:eastAsia="宋体" w:cs="Times New Roman"/>
                      <w:color w:val="000000"/>
                      <w:kern w:val="2"/>
                      <w:sz w:val="21"/>
                      <w:szCs w:val="21"/>
                      <w:lang w:val="en-GB" w:eastAsia="zh-CN" w:bidi="ar-SA"/>
                    </w:rPr>
                    <w:t>关键控制点监控合格</w:t>
                  </w:r>
                  <w:r>
                    <w:rPr>
                      <w:rFonts w:hint="eastAsia" w:cs="Times New Roman"/>
                      <w:color w:val="000000"/>
                      <w:kern w:val="2"/>
                      <w:sz w:val="21"/>
                      <w:szCs w:val="21"/>
                      <w:lang w:val="en-US" w:eastAsia="zh-CN" w:bidi="ar-SA"/>
                    </w:rPr>
                    <w:t>次数数/需监控总次数X100%</w:t>
                  </w:r>
                </w:p>
              </w:tc>
              <w:tc>
                <w:tcPr>
                  <w:tcW w:w="1774" w:type="dxa"/>
                  <w:shd w:val="clear" w:color="auto" w:fill="auto"/>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w:t>
                  </w:r>
                  <w:r>
                    <w:rPr>
                      <w:rFonts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rFonts w:asciiTheme="minorEastAsia" w:hAnsiTheme="minorEastAsia" w:eastAsiaTheme="minorEastAsia"/>
                      <w:color w:val="000000"/>
                      <w:szCs w:val="21"/>
                    </w:rPr>
                  </w:pPr>
                  <w:r>
                    <w:rPr>
                      <w:rFonts w:hint="eastAsia" w:cs="宋体" w:asciiTheme="minorEastAsia" w:hAnsiTheme="minorEastAsia" w:eastAsiaTheme="minorEastAsia"/>
                      <w:szCs w:val="21"/>
                    </w:rPr>
                    <w:t>卫生标准操作程序执行检查合格率</w:t>
                  </w:r>
                  <w:r>
                    <w:rPr>
                      <w:rFonts w:hint="eastAsia" w:asciiTheme="minorEastAsia" w:hAnsiTheme="minorEastAsia" w:eastAsiaTheme="minorEastAsia"/>
                      <w:bCs/>
                      <w:szCs w:val="21"/>
                    </w:rPr>
                    <w:t>≥98%</w:t>
                  </w:r>
                </w:p>
              </w:tc>
              <w:tc>
                <w:tcPr>
                  <w:tcW w:w="1521" w:type="dxa"/>
                  <w:shd w:val="clear" w:color="auto" w:fill="auto"/>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每年</w:t>
                  </w:r>
                </w:p>
              </w:tc>
              <w:tc>
                <w:tcPr>
                  <w:tcW w:w="2965" w:type="dxa"/>
                  <w:shd w:val="clear" w:color="auto" w:fill="auto"/>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bCs/>
                      <w:szCs w:val="21"/>
                    </w:rPr>
                    <w:t>卫生标准操作程序执行检查合格率=（按卫生标准操作程序合格次数/总抽查次数）*100%</w:t>
                  </w:r>
                </w:p>
              </w:tc>
              <w:tc>
                <w:tcPr>
                  <w:tcW w:w="1774" w:type="dxa"/>
                  <w:shd w:val="clear" w:color="auto" w:fill="auto"/>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w:t>
                  </w:r>
                  <w:r>
                    <w:rPr>
                      <w:rFonts w:asciiTheme="minorEastAsia" w:hAnsiTheme="minorEastAsia" w:eastAsiaTheme="minorEastAsia"/>
                      <w:color w:val="000000"/>
                      <w:szCs w:val="21"/>
                    </w:rPr>
                    <w:t>%</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变更的策划</w:t>
            </w:r>
          </w:p>
          <w:p/>
        </w:tc>
        <w:tc>
          <w:tcPr>
            <w:tcW w:w="952" w:type="dxa"/>
            <w:gridSpan w:val="2"/>
            <w:vMerge w:val="restart"/>
          </w:tcPr>
          <w:p>
            <w:r>
              <w:rPr>
                <w:rFonts w:hint="eastAsia"/>
                <w:color w:val="000000"/>
                <w:szCs w:val="21"/>
              </w:rPr>
              <w:t>F6.3  </w:t>
            </w:r>
          </w:p>
        </w:tc>
        <w:tc>
          <w:tcPr>
            <w:tcW w:w="761" w:type="dxa"/>
          </w:tcPr>
          <w:p>
            <w:r>
              <w:rPr>
                <w:rFonts w:hint="eastAsia"/>
              </w:rPr>
              <w:t>文件名称</w:t>
            </w:r>
          </w:p>
        </w:tc>
        <w:tc>
          <w:tcPr>
            <w:tcW w:w="9367" w:type="dxa"/>
          </w:tcPr>
          <w:p>
            <w:r>
              <w:rPr>
                <w:rFonts w:hint="eastAsia"/>
              </w:rPr>
              <w:t>如：手册第6.3条款、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☑其他（自体系建立以来没有发生变更）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gridSpan w:val="2"/>
            <w:vMerge w:val="restart"/>
          </w:tcPr>
          <w:p>
            <w:r>
              <w:rPr>
                <w:rFonts w:hint="eastAsia"/>
                <w:color w:val="000000"/>
                <w:szCs w:val="21"/>
              </w:rPr>
              <w:t>F7.1 </w:t>
            </w:r>
          </w:p>
        </w:tc>
        <w:tc>
          <w:tcPr>
            <w:tcW w:w="761" w:type="dxa"/>
          </w:tcPr>
          <w:p>
            <w:r>
              <w:rPr>
                <w:rFonts w:hint="eastAsia"/>
              </w:rPr>
              <w:t>文件名称</w:t>
            </w:r>
          </w:p>
        </w:tc>
        <w:tc>
          <w:tcPr>
            <w:tcW w:w="9367" w:type="dxa"/>
          </w:tcPr>
          <w:p>
            <w:r>
              <w:rPr>
                <w:rFonts w:hint="eastAsia"/>
              </w:rPr>
              <w:t>如：手册第7.1条款、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u w:val="single"/>
              </w:rPr>
              <w:t>2050</w:t>
            </w:r>
            <w:r>
              <w:rPr>
                <w:rFonts w:hint="eastAsia"/>
                <w:u w:val="single"/>
              </w:rPr>
              <w:t xml:space="preserve">    </w:t>
            </w:r>
            <w:r>
              <w:rPr>
                <w:rFonts w:hint="eastAsia"/>
              </w:rPr>
              <w:t>平方米；加工间</w:t>
            </w:r>
            <w:r>
              <w:rPr>
                <w:rFonts w:hint="eastAsia"/>
                <w:u w:val="single"/>
              </w:rPr>
              <w:t xml:space="preserve"> 2  </w:t>
            </w:r>
            <w:r>
              <w:rPr>
                <w:rFonts w:hint="eastAsia"/>
              </w:rPr>
              <w:t>间（二</w:t>
            </w:r>
            <w:r>
              <w:t>层</w:t>
            </w:r>
            <w:r>
              <w:rPr>
                <w:rFonts w:hint="eastAsia"/>
              </w:rPr>
              <w:t>原</w:t>
            </w:r>
            <w:r>
              <w:t>料</w:t>
            </w:r>
            <w:r>
              <w:rPr>
                <w:rFonts w:hint="eastAsia"/>
              </w:rPr>
              <w:t>初</w:t>
            </w:r>
            <w:r>
              <w:t>加工区</w:t>
            </w:r>
            <w:r>
              <w:rPr>
                <w:rFonts w:hint="eastAsia"/>
              </w:rPr>
              <w:t>、一</w:t>
            </w:r>
            <w:r>
              <w:t>层</w:t>
            </w:r>
            <w:r>
              <w:rPr>
                <w:rFonts w:hint="eastAsia"/>
              </w:rPr>
              <w:t>餐</w:t>
            </w:r>
            <w:r>
              <w:t>厨加工</w:t>
            </w:r>
            <w:r>
              <w:rPr>
                <w:rFonts w:hint="eastAsia"/>
              </w:rPr>
              <w:t>区）冷冻库</w:t>
            </w:r>
            <w:r>
              <w:rPr>
                <w:rFonts w:hint="eastAsia"/>
                <w:u w:val="single"/>
              </w:rPr>
              <w:t>1间</w:t>
            </w:r>
            <w:r>
              <w:rPr>
                <w:rFonts w:hint="eastAsia"/>
              </w:rPr>
              <w:t>、冷</w:t>
            </w:r>
            <w:r>
              <w:t>藏</w:t>
            </w:r>
            <w:r>
              <w:rPr>
                <w:rFonts w:hint="eastAsia"/>
              </w:rPr>
              <w:t>库</w:t>
            </w:r>
            <w:r>
              <w:rPr>
                <w:rFonts w:hint="eastAsia"/>
                <w:u w:val="single"/>
              </w:rPr>
              <w:t xml:space="preserve"> </w:t>
            </w:r>
            <w:r>
              <w:rPr>
                <w:u w:val="single"/>
              </w:rPr>
              <w:t xml:space="preserve"> 4</w:t>
            </w:r>
            <w:r>
              <w:rPr>
                <w:rFonts w:hint="eastAsia"/>
                <w:u w:val="single"/>
              </w:rPr>
              <w:t xml:space="preserve"> </w:t>
            </w:r>
            <w:r>
              <w:rPr>
                <w:rFonts w:hint="eastAsia"/>
              </w:rPr>
              <w:t>间 ；检验室</w:t>
            </w:r>
            <w:r>
              <w:rPr>
                <w:rFonts w:hint="eastAsia"/>
                <w:u w:val="single"/>
              </w:rPr>
              <w:t xml:space="preserve"> 1 </w:t>
            </w:r>
            <w:r>
              <w:rPr>
                <w:rFonts w:hint="eastAsia"/>
              </w:rPr>
              <w:t>间；</w:t>
            </w:r>
          </w:p>
          <w:p>
            <w:pPr>
              <w:widowControl/>
              <w:spacing w:before="40"/>
              <w:jc w:val="left"/>
              <w:rPr>
                <w:color w:val="000000"/>
              </w:rPr>
            </w:pPr>
            <w:r>
              <w:rPr>
                <w:rFonts w:hint="eastAsia"/>
                <w:color w:val="000000"/>
              </w:rPr>
              <w:t>动力设施和辅助设施的状况，存在下列的场所：（</w:t>
            </w:r>
            <w:r>
              <w:rPr>
                <w:color w:val="000000"/>
              </w:rPr>
              <w:t>不</w:t>
            </w:r>
            <w:r>
              <w:rPr>
                <w:rFonts w:hint="eastAsia"/>
                <w:color w:val="000000"/>
              </w:rPr>
              <w:t>涉</w:t>
            </w:r>
            <w:r>
              <w:rPr>
                <w:color w:val="000000"/>
              </w:rPr>
              <w:t>及）</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双门蒸饭车、电磁摇摆锅、电磁单头大锅、电饼铛、红外餐具消毒柜、四门冷藏冰箱、冷</w:t>
            </w:r>
            <w:r>
              <w:rPr>
                <w:u w:val="single"/>
              </w:rPr>
              <w:t>冻冷藏库</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p>
            <w:pPr>
              <w:numPr>
                <w:ilvl w:val="0"/>
                <w:numId w:val="1"/>
              </w:numPr>
            </w:pPr>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gridSpan w:val="2"/>
            <w:vMerge w:val="restart"/>
          </w:tcPr>
          <w:p>
            <w:r>
              <w:rPr>
                <w:rFonts w:hint="eastAsia"/>
              </w:rPr>
              <w:t xml:space="preserve">F7.4  </w:t>
            </w:r>
          </w:p>
        </w:tc>
        <w:tc>
          <w:tcPr>
            <w:tcW w:w="761" w:type="dxa"/>
          </w:tcPr>
          <w:p>
            <w:r>
              <w:rPr>
                <w:rFonts w:hint="eastAsia"/>
              </w:rPr>
              <w:t>文件名称</w:t>
            </w:r>
          </w:p>
        </w:tc>
        <w:tc>
          <w:tcPr>
            <w:tcW w:w="9367" w:type="dxa"/>
          </w:tcPr>
          <w:p>
            <w:r>
              <w:rPr>
                <w:rFonts w:hint="eastAsia"/>
              </w:rPr>
              <w:t>如：《沟通控制程序》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color w:val="000000"/>
                <w:szCs w:val="21"/>
              </w:rPr>
              <w:t>消防大队 ☑顾客 ☑供方 ☑外包方 ☑网站</w:t>
            </w:r>
          </w:p>
          <w:p/>
          <w:p>
            <w:r>
              <w:rPr>
                <w:rFonts w:hint="eastAsia"/>
              </w:rPr>
              <w:t>内部沟通的控制方式：</w:t>
            </w:r>
            <w:r>
              <w:rPr>
                <w:rFonts w:hint="eastAsia"/>
                <w:color w:val="000000"/>
                <w:szCs w:val="21"/>
              </w:rPr>
              <w:t>☑会议 ☑表单传递 ☑微信 ☑QQ □展板 □标语</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监视、测量、分析和评价</w:t>
            </w:r>
          </w:p>
          <w:p>
            <w:pPr>
              <w:rPr>
                <w:szCs w:val="21"/>
              </w:rPr>
            </w:pPr>
          </w:p>
        </w:tc>
        <w:tc>
          <w:tcPr>
            <w:tcW w:w="944" w:type="dxa"/>
            <w:vMerge w:val="restart"/>
          </w:tcPr>
          <w:p>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管理手册9.1.1章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组织对监视和测量的环境绩效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监视和测量的对象</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监视、测量、分析和评价的方法</w:t>
                  </w:r>
                </w:p>
              </w:tc>
              <w:tc>
                <w:tcPr>
                  <w:tcW w:w="1986" w:type="dxa"/>
                </w:tcPr>
                <w:p>
                  <w:pPr>
                    <w:rPr>
                      <w:rFonts w:asciiTheme="minorEastAsia" w:hAnsiTheme="minorEastAsia" w:eastAsiaTheme="minorEastAsia"/>
                      <w:szCs w:val="21"/>
                    </w:rPr>
                  </w:pPr>
                  <w:r>
                    <w:rPr>
                      <w:rFonts w:hint="eastAsia" w:asciiTheme="minorEastAsia" w:hAnsiTheme="minorEastAsia" w:eastAsiaTheme="minorEastAsia"/>
                      <w:szCs w:val="21"/>
                    </w:rPr>
                    <w:t>监视和测量的频次和时机</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szCs w:val="21"/>
                    </w:rPr>
                    <w:t>评价其环境绩效所依据的准则和适当的参数</w:t>
                  </w:r>
                </w:p>
              </w:tc>
              <w:tc>
                <w:tcPr>
                  <w:tcW w:w="2034" w:type="dxa"/>
                </w:tcPr>
                <w:p>
                  <w:pPr>
                    <w:rPr>
                      <w:rFonts w:asciiTheme="minorEastAsia" w:hAnsiTheme="minorEastAsia" w:eastAsiaTheme="minorEastAsia"/>
                      <w:szCs w:val="21"/>
                    </w:rPr>
                  </w:pPr>
                  <w:r>
                    <w:rPr>
                      <w:rFonts w:hint="eastAsia" w:asciiTheme="minorEastAsia" w:hAnsiTheme="minorEastAsia" w:eastAsiaTheme="minor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水质监测</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索取第三方（水务局）监测报告</w:t>
                  </w:r>
                </w:p>
              </w:tc>
              <w:tc>
                <w:tcPr>
                  <w:tcW w:w="1986"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其他</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符合G</w:t>
                  </w:r>
                  <w:r>
                    <w:rPr>
                      <w:rFonts w:asciiTheme="minorEastAsia" w:hAnsiTheme="minorEastAsia" w:eastAsiaTheme="minorEastAsia"/>
                      <w:color w:val="000000" w:themeColor="text1"/>
                      <w:szCs w:val="21"/>
                      <w14:textFill>
                        <w14:solidFill>
                          <w14:schemeClr w14:val="tx1"/>
                        </w14:solidFill>
                      </w14:textFill>
                    </w:rPr>
                    <w:t>B5749</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2006</w:t>
                  </w:r>
                  <w:r>
                    <w:rPr>
                      <w:rFonts w:hint="eastAsia" w:asciiTheme="minorEastAsia" w:hAnsiTheme="minorEastAsia" w:eastAsiaTheme="minorEastAsia"/>
                      <w:color w:val="000000" w:themeColor="text1"/>
                      <w:szCs w:val="21"/>
                      <w14:textFill>
                        <w14:solidFill>
                          <w14:schemeClr w14:val="tx1"/>
                        </w14:solidFill>
                      </w14:textFill>
                    </w:rPr>
                    <w:t>的常规检测要求</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过程</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现场巡视</w:t>
                  </w:r>
                </w:p>
                <w:p>
                  <w:pPr>
                    <w:rPr>
                      <w:rFonts w:asciiTheme="minorEastAsia" w:hAnsiTheme="minorEastAsia" w:eastAsiaTheme="minorEastAsia"/>
                      <w:szCs w:val="21"/>
                    </w:rPr>
                  </w:pPr>
                  <w:r>
                    <w:rPr>
                      <w:rFonts w:hint="eastAsia" w:asciiTheme="minorEastAsia" w:hAnsiTheme="minorEastAsia" w:eastAsiaTheme="minorEastAsia"/>
                      <w:szCs w:val="21"/>
                    </w:rPr>
                    <w:t>抽查记录</w:t>
                  </w:r>
                </w:p>
                <w:p>
                  <w:pPr>
                    <w:rPr>
                      <w:rFonts w:asciiTheme="minorEastAsia" w:hAnsiTheme="minorEastAsia" w:eastAsiaTheme="minorEastAsia"/>
                      <w:szCs w:val="21"/>
                    </w:rPr>
                  </w:pPr>
                  <w:r>
                    <w:rPr>
                      <w:rFonts w:hint="eastAsia" w:asciiTheme="minorEastAsia" w:hAnsiTheme="minorEastAsia" w:eastAsiaTheme="minorEastAsia"/>
                      <w:szCs w:val="21"/>
                    </w:rPr>
                    <w:t>对食品安全目标进行统计</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定期检查</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抽查</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GB14881-2013</w:t>
                  </w:r>
                  <w:r>
                    <w:rPr>
                      <w:rFonts w:hint="eastAsia" w:asciiTheme="minorEastAsia" w:hAnsiTheme="minorEastAsia" w:eastAsiaTheme="minorEastAsia"/>
                      <w:szCs w:val="21"/>
                    </w:rPr>
                    <w:t>食</w:t>
                  </w:r>
                  <w:r>
                    <w:rPr>
                      <w:rFonts w:asciiTheme="minorEastAsia" w:hAnsiTheme="minorEastAsia" w:eastAsiaTheme="minorEastAsia"/>
                      <w:szCs w:val="21"/>
                    </w:rPr>
                    <w:t>品生产通用卫生规范</w:t>
                  </w:r>
                </w:p>
                <w:p>
                  <w:pPr>
                    <w:rPr>
                      <w:rFonts w:asciiTheme="minorEastAsia" w:hAnsiTheme="minorEastAsia" w:eastAsiaTheme="minorEastAsia"/>
                      <w:szCs w:val="21"/>
                    </w:rPr>
                  </w:pPr>
                  <w:r>
                    <w:rPr>
                      <w:rFonts w:hint="eastAsia" w:asciiTheme="minorEastAsia" w:hAnsiTheme="minorEastAsia" w:eastAsiaTheme="minorEastAsia"/>
                      <w:szCs w:val="21"/>
                    </w:rPr>
                    <w:t>GBT 27306-2008 食品安全管理体系 餐饮业要求</w:t>
                  </w:r>
                </w:p>
                <w:p>
                  <w:pPr>
                    <w:rPr>
                      <w:rFonts w:asciiTheme="minorEastAsia" w:hAnsiTheme="minorEastAsia" w:eastAsiaTheme="minorEastAsia"/>
                      <w:szCs w:val="21"/>
                    </w:rPr>
                  </w:pPr>
                </w:p>
              </w:tc>
              <w:tc>
                <w:tcPr>
                  <w:tcW w:w="2034" w:type="dxa"/>
                </w:tcPr>
                <w:p>
                  <w:pPr>
                    <w:widowControl/>
                    <w:spacing w:before="40"/>
                    <w:jc w:val="left"/>
                    <w:rPr>
                      <w:rFonts w:asciiTheme="minorEastAsia" w:hAnsiTheme="minorEastAsia" w:eastAsiaTheme="minorEastAsia"/>
                      <w:color w:val="000000"/>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体系</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内部审核；对内审不符合项进行分析</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按年度内审计划</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每年一次</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特殊情况增加</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ISO 22000: 2018</w:t>
                  </w:r>
                </w:p>
                <w:p>
                  <w:pPr>
                    <w:rPr>
                      <w:rFonts w:asciiTheme="minorEastAsia" w:hAnsiTheme="minorEastAsia" w:eastAsiaTheme="minorEastAsia"/>
                      <w:szCs w:val="21"/>
                    </w:rPr>
                  </w:pPr>
                  <w:r>
                    <w:rPr>
                      <w:rFonts w:asciiTheme="minorEastAsia" w:hAnsiTheme="minorEastAsia" w:eastAsiaTheme="minorEastAsia"/>
                      <w:szCs w:val="21"/>
                    </w:rPr>
                    <w:t>HACCP</w:t>
                  </w:r>
                  <w:r>
                    <w:rPr>
                      <w:rFonts w:hint="eastAsia" w:asciiTheme="minorEastAsia" w:hAnsiTheme="minorEastAsia" w:eastAsiaTheme="minorEastAsia"/>
                      <w:szCs w:val="21"/>
                    </w:rPr>
                    <w:t>危</w:t>
                  </w:r>
                  <w:r>
                    <w:rPr>
                      <w:rFonts w:asciiTheme="minorEastAsia" w:hAnsiTheme="minorEastAsia" w:eastAsiaTheme="minorEastAsia"/>
                      <w:szCs w:val="21"/>
                    </w:rPr>
                    <w:t>害分析与关键控制点</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体系有效性</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管理评审，对存在的需要问题进行分析</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每年一次</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特殊情况增加</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ISO 22000: 2018</w:t>
                  </w:r>
                </w:p>
                <w:p>
                  <w:pPr>
                    <w:rPr>
                      <w:rFonts w:asciiTheme="minorEastAsia" w:hAnsiTheme="minorEastAsia" w:eastAsiaTheme="minorEastAsia"/>
                      <w:szCs w:val="21"/>
                    </w:rPr>
                  </w:pPr>
                  <w:r>
                    <w:rPr>
                      <w:rFonts w:asciiTheme="minorEastAsia" w:hAnsiTheme="minorEastAsia" w:eastAsiaTheme="minorEastAsia"/>
                      <w:szCs w:val="21"/>
                    </w:rPr>
                    <w:t>HACCP</w:t>
                  </w:r>
                  <w:r>
                    <w:rPr>
                      <w:rFonts w:hint="eastAsia" w:asciiTheme="minorEastAsia" w:hAnsiTheme="minorEastAsia" w:eastAsiaTheme="minorEastAsia"/>
                      <w:szCs w:val="21"/>
                    </w:rPr>
                    <w:t>危</w:t>
                  </w:r>
                  <w:r>
                    <w:rPr>
                      <w:rFonts w:asciiTheme="minorEastAsia" w:hAnsiTheme="minorEastAsia" w:eastAsiaTheme="minorEastAsia"/>
                      <w:szCs w:val="21"/>
                    </w:rPr>
                    <w:t>害分析与关键控制点</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相关方反馈</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反馈处理，对问题进行统计</w:t>
                  </w:r>
                </w:p>
              </w:tc>
              <w:tc>
                <w:tcPr>
                  <w:tcW w:w="1986"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每年一次</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宋体" w:hAnsi="宋体" w:cs="宋体"/>
                      <w:color w:val="000000"/>
                      <w:szCs w:val="21"/>
                    </w:rPr>
                    <w:t>随时</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szCs w:val="21"/>
                    </w:rPr>
                    <w:t>相关标准</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hint="eastAsia" w:asciiTheme="minorEastAsia" w:hAnsiTheme="minorEastAsia" w:eastAsiaTheme="minorEastAsia"/>
                      <w:color w:val="000000"/>
                      <w:szCs w:val="21"/>
                    </w:rPr>
                    <w:t xml:space="preserve">□每年  </w:t>
                  </w:r>
                  <w:r>
                    <w:rPr>
                      <w:rFonts w:ascii="Segoe UI Symbol" w:hAnsi="Segoe UI Symbol" w:cs="Segoe UI Symbol" w:eastAsiaTheme="minorEastAsia"/>
                      <w:color w:val="000000"/>
                      <w:szCs w:val="21"/>
                    </w:rPr>
                    <w:t>☑</w:t>
                  </w:r>
                  <w:r>
                    <w:rPr>
                      <w:rFonts w:hint="eastAsia" w:ascii="宋体" w:hAnsi="宋体" w:cs="宋体"/>
                      <w:color w:val="000000"/>
                      <w:szCs w:val="21"/>
                    </w:rPr>
                    <w:t>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52" w:type="dxa"/>
            <w:gridSpan w:val="2"/>
            <w:vMerge w:val="restart"/>
          </w:tcPr>
          <w:p>
            <w:r>
              <w:rPr>
                <w:rFonts w:hint="eastAsia"/>
              </w:rPr>
              <w:t>内部审核</w:t>
            </w:r>
          </w:p>
        </w:tc>
        <w:tc>
          <w:tcPr>
            <w:tcW w:w="944" w:type="dxa"/>
            <w:vMerge w:val="restart"/>
          </w:tcPr>
          <w:p>
            <w:r>
              <w:rPr>
                <w:rFonts w:hint="eastAsia"/>
              </w:rPr>
              <w:t>F9.2</w:t>
            </w:r>
          </w:p>
          <w:p>
            <w:r>
              <w:rPr>
                <w:rFonts w:hint="eastAsia"/>
              </w:rPr>
              <w:t>H</w:t>
            </w:r>
            <w:r>
              <w:t>5.4</w:t>
            </w:r>
          </w:p>
        </w:tc>
        <w:tc>
          <w:tcPr>
            <w:tcW w:w="761" w:type="dxa"/>
          </w:tcPr>
          <w:p>
            <w:r>
              <w:rPr>
                <w:rFonts w:hint="eastAsia"/>
              </w:rPr>
              <w:t>文件名称</w:t>
            </w:r>
          </w:p>
        </w:tc>
        <w:tc>
          <w:tcPr>
            <w:tcW w:w="9367" w:type="dxa"/>
          </w:tcPr>
          <w:p>
            <w:r>
              <w:rPr>
                <w:rFonts w:hint="eastAsia"/>
              </w:rPr>
              <w:t>《内审控制程序》</w:t>
            </w:r>
          </w:p>
        </w:tc>
        <w:tc>
          <w:tcPr>
            <w:tcW w:w="1590"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Pr>
                <w:color w:val="000000"/>
                <w:szCs w:val="18"/>
                <w:u w:val="single"/>
              </w:rPr>
              <w:t xml:space="preserve">1   </w:t>
            </w:r>
            <w:r>
              <w:rPr>
                <w:rFonts w:hint="eastAsia"/>
                <w:color w:val="000000"/>
                <w:szCs w:val="18"/>
              </w:rPr>
              <w:t>月</w:t>
            </w:r>
            <w:r>
              <w:rPr>
                <w:rFonts w:hint="eastAsia"/>
                <w:color w:val="000000"/>
                <w:szCs w:val="18"/>
                <w:u w:val="single"/>
              </w:rPr>
              <w:t xml:space="preserve"> </w:t>
            </w:r>
            <w:r>
              <w:rPr>
                <w:color w:val="000000"/>
                <w:szCs w:val="18"/>
                <w:u w:val="single"/>
              </w:rPr>
              <w:t xml:space="preserve"> 08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ascii="Calibri" w:hAnsi="Calibri"/>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管理层、运</w:t>
            </w:r>
            <w:r>
              <w:rPr>
                <w:rFonts w:asciiTheme="minorEastAsia" w:hAnsiTheme="minorEastAsia" w:eastAsiaTheme="minorEastAsia"/>
                <w:color w:val="000000"/>
                <w:szCs w:val="21"/>
                <w:u w:val="single"/>
              </w:rPr>
              <w:t>营</w:t>
            </w:r>
            <w:r>
              <w:rPr>
                <w:rFonts w:hint="eastAsia" w:asciiTheme="minorEastAsia" w:hAnsiTheme="minorEastAsia" w:eastAsiaTheme="minorEastAsia"/>
                <w:color w:val="000000"/>
                <w:szCs w:val="21"/>
                <w:u w:val="single"/>
              </w:rPr>
              <w:t>部、</w:t>
            </w:r>
            <w:r>
              <w:rPr>
                <w:rFonts w:hint="eastAsia" w:cs="宋体" w:asciiTheme="minorEastAsia" w:hAnsiTheme="minorEastAsia" w:eastAsiaTheme="minorEastAsia"/>
                <w:szCs w:val="21"/>
                <w:u w:val="single"/>
              </w:rPr>
              <w:t>餐饮管理部、综合部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现</w:t>
            </w:r>
            <w:r>
              <w:rPr>
                <w:color w:val="000000"/>
                <w:szCs w:val="21"/>
                <w:u w:val="single"/>
              </w:rPr>
              <w:t>场</w:t>
            </w:r>
            <w:r>
              <w:rPr>
                <w:rFonts w:hint="eastAsia"/>
                <w:color w:val="000000"/>
                <w:szCs w:val="21"/>
                <w:u w:val="single"/>
              </w:rPr>
              <w:t>审</w:t>
            </w:r>
            <w:r>
              <w:rPr>
                <w:color w:val="000000"/>
                <w:szCs w:val="21"/>
                <w:u w:val="single"/>
              </w:rPr>
              <w:t>核</w:t>
            </w:r>
            <w:r>
              <w:rPr>
                <w:rFonts w:hint="eastAsia"/>
                <w:color w:val="000000"/>
                <w:szCs w:val="21"/>
                <w:u w:val="single"/>
              </w:rPr>
              <w:t>时</w:t>
            </w:r>
            <w:r>
              <w:rPr>
                <w:color w:val="000000"/>
                <w:szCs w:val="21"/>
                <w:u w:val="single"/>
              </w:rPr>
              <w:t>未能提供内审员进行培训的证据</w:t>
            </w:r>
            <w:r>
              <w:rPr>
                <w:rFonts w:hint="eastAsia"/>
                <w:color w:val="000000"/>
                <w:szCs w:val="21"/>
                <w:u w:val="single"/>
              </w:rPr>
              <w:t>，</w:t>
            </w:r>
            <w:r>
              <w:rPr>
                <w:rFonts w:hint="eastAsia" w:ascii="宋体" w:hAnsi="宋体" w:cs="宋体"/>
                <w:szCs w:val="21"/>
                <w:u w:val="single"/>
              </w:rPr>
              <w:t>不符合ISO 22000:2018标准7.2能力要求，HACCP标准6.2条款要求</w:t>
            </w:r>
            <w:r>
              <w:rPr>
                <w:rFonts w:hint="eastAsia"/>
                <w:color w:val="000000"/>
                <w:szCs w:val="21"/>
                <w:u w:val="single"/>
              </w:rPr>
              <w:t xml:space="preserve">                           </w:t>
            </w:r>
          </w:p>
          <w:p>
            <w:pPr>
              <w:widowControl/>
              <w:spacing w:before="40"/>
              <w:ind w:firstLine="420" w:firstLineChars="200"/>
              <w:jc w:val="left"/>
            </w:pPr>
            <w:r>
              <w:rPr>
                <w:rFonts w:hint="eastAsia" w:ascii="Calibri" w:hAnsi="Calibri"/>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pct10" w:color="auto" w:fill="FFFFFF"/>
              </w:rPr>
            </w:pPr>
            <w:r>
              <w:rPr>
                <w:rFonts w:hint="eastAsia"/>
                <w:shd w:val="pct10" w:color="auto" w:fill="FFFFFF"/>
              </w:rPr>
              <w:t>本次现场审核时，上述不符合项的纠正措施的有效性</w:t>
            </w:r>
          </w:p>
          <w:p>
            <w:pPr>
              <w:widowControl/>
              <w:spacing w:before="40"/>
              <w:jc w:val="left"/>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2"/>
            <w:vMerge w:val="restart"/>
          </w:tcPr>
          <w:p>
            <w:r>
              <w:rPr>
                <w:rFonts w:hint="eastAsia"/>
              </w:rPr>
              <w:t>管理评审</w:t>
            </w:r>
          </w:p>
          <w:p/>
        </w:tc>
        <w:tc>
          <w:tcPr>
            <w:tcW w:w="944" w:type="dxa"/>
            <w:vMerge w:val="restart"/>
          </w:tcPr>
          <w:p>
            <w:r>
              <w:rPr>
                <w:rFonts w:hint="eastAsia"/>
              </w:rPr>
              <w:t>F9.3</w:t>
            </w:r>
          </w:p>
          <w:p>
            <w:r>
              <w:rPr>
                <w:rFonts w:hint="eastAsia"/>
              </w:rPr>
              <w:t>H</w:t>
            </w:r>
            <w:r>
              <w:t>5.5</w:t>
            </w:r>
          </w:p>
        </w:tc>
        <w:tc>
          <w:tcPr>
            <w:tcW w:w="761" w:type="dxa"/>
          </w:tcPr>
          <w:p>
            <w:r>
              <w:rPr>
                <w:rFonts w:hint="eastAsia"/>
              </w:rPr>
              <w:t>文件名称</w:t>
            </w:r>
          </w:p>
        </w:tc>
        <w:tc>
          <w:tcPr>
            <w:tcW w:w="9367" w:type="dxa"/>
          </w:tcPr>
          <w:p>
            <w:r>
              <w:rPr>
                <w:rFonts w:hint="eastAsia"/>
              </w:rPr>
              <w:t>如：《管理评审控制程序》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1</w:t>
            </w:r>
            <w:r>
              <w:rPr>
                <w:color w:val="000000"/>
                <w:szCs w:val="18"/>
                <w:u w:val="single"/>
              </w:rPr>
              <w:t xml:space="preserve">  </w:t>
            </w:r>
            <w:r>
              <w:rPr>
                <w:rFonts w:hint="eastAsia"/>
                <w:color w:val="000000"/>
                <w:szCs w:val="18"/>
              </w:rPr>
              <w:t>月</w:t>
            </w:r>
            <w:r>
              <w:rPr>
                <w:rFonts w:hint="eastAsia"/>
                <w:color w:val="000000"/>
                <w:szCs w:val="18"/>
                <w:u w:val="single"/>
              </w:rPr>
              <w:t xml:space="preserve"> 8</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asciiTheme="minorEastAsia" w:hAnsiTheme="minorEastAsia" w:eastAsiaTheme="minorEastAsia"/>
                      <w:color w:val="000000"/>
                      <w:szCs w:val="21"/>
                    </w:rPr>
                  </w:pPr>
                  <w:r>
                    <w:rPr>
                      <w:rFonts w:hint="eastAsia" w:cs="仿宋" w:asciiTheme="minorEastAsia" w:hAnsiTheme="minorEastAsia" w:eastAsiaTheme="minorEastAsia"/>
                      <w:szCs w:val="21"/>
                    </w:rPr>
                    <w:t>为进一步提高公司全体员工对关键工序（原料验收）进行培训</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持续改进</w:t>
            </w:r>
          </w:p>
        </w:tc>
        <w:tc>
          <w:tcPr>
            <w:tcW w:w="952" w:type="dxa"/>
            <w:gridSpan w:val="2"/>
            <w:vMerge w:val="restart"/>
          </w:tcPr>
          <w:p>
            <w:r>
              <w:rPr>
                <w:rFonts w:hint="eastAsia"/>
              </w:rPr>
              <w:t>F10.2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食品安全管理体系的更新</w:t>
            </w:r>
          </w:p>
          <w:p/>
        </w:tc>
        <w:tc>
          <w:tcPr>
            <w:tcW w:w="952" w:type="dxa"/>
            <w:gridSpan w:val="2"/>
            <w:vMerge w:val="restart"/>
          </w:tcPr>
          <w:p>
            <w:r>
              <w:rPr>
                <w:rFonts w:hint="eastAsia"/>
              </w:rPr>
              <w:t>F10.3</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管理手册10.3章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u w:val="single"/>
              </w:rPr>
            </w:pPr>
            <w:r>
              <w:t>最高管理者确保FSMS持续更新。</w:t>
            </w:r>
            <w:r>
              <w:rPr>
                <w:rFonts w:hint="eastAsia"/>
              </w:rPr>
              <w:sym w:font="Wingdings" w:char="00A8"/>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rPr>
              <w:t xml:space="preserve">   </w:t>
            </w:r>
            <w:r>
              <w:t>，作为输入报告给管理评审。</w:t>
            </w:r>
          </w:p>
        </w:tc>
        <w:tc>
          <w:tcPr>
            <w:tcW w:w="1590"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IDFont+F5">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5D"/>
    <w:rsid w:val="0000261C"/>
    <w:rsid w:val="00005B7A"/>
    <w:rsid w:val="0002138C"/>
    <w:rsid w:val="000237F6"/>
    <w:rsid w:val="0003373A"/>
    <w:rsid w:val="00036574"/>
    <w:rsid w:val="000400E2"/>
    <w:rsid w:val="00045C38"/>
    <w:rsid w:val="00055693"/>
    <w:rsid w:val="00062E46"/>
    <w:rsid w:val="000E6B21"/>
    <w:rsid w:val="000F0ACF"/>
    <w:rsid w:val="000F6D98"/>
    <w:rsid w:val="001076CE"/>
    <w:rsid w:val="001126B5"/>
    <w:rsid w:val="00120E8B"/>
    <w:rsid w:val="00172A27"/>
    <w:rsid w:val="00173B9F"/>
    <w:rsid w:val="001A2D7F"/>
    <w:rsid w:val="001A476C"/>
    <w:rsid w:val="001A651D"/>
    <w:rsid w:val="001F343D"/>
    <w:rsid w:val="0020258E"/>
    <w:rsid w:val="00203086"/>
    <w:rsid w:val="0021534B"/>
    <w:rsid w:val="002166AF"/>
    <w:rsid w:val="00225489"/>
    <w:rsid w:val="00230BB0"/>
    <w:rsid w:val="00231BC4"/>
    <w:rsid w:val="002738BE"/>
    <w:rsid w:val="002939AD"/>
    <w:rsid w:val="002A08BA"/>
    <w:rsid w:val="002A5A41"/>
    <w:rsid w:val="002C04C0"/>
    <w:rsid w:val="002D4568"/>
    <w:rsid w:val="002E5775"/>
    <w:rsid w:val="00314AF6"/>
    <w:rsid w:val="003221E6"/>
    <w:rsid w:val="00337922"/>
    <w:rsid w:val="00340867"/>
    <w:rsid w:val="00357F63"/>
    <w:rsid w:val="00374CB1"/>
    <w:rsid w:val="00380837"/>
    <w:rsid w:val="003A17E3"/>
    <w:rsid w:val="003A198A"/>
    <w:rsid w:val="003B14D1"/>
    <w:rsid w:val="003D51BF"/>
    <w:rsid w:val="003D51EF"/>
    <w:rsid w:val="00410914"/>
    <w:rsid w:val="004177C7"/>
    <w:rsid w:val="00417D50"/>
    <w:rsid w:val="00425FAC"/>
    <w:rsid w:val="00436A99"/>
    <w:rsid w:val="004724DC"/>
    <w:rsid w:val="0048201E"/>
    <w:rsid w:val="004A0594"/>
    <w:rsid w:val="004B2B4C"/>
    <w:rsid w:val="00505533"/>
    <w:rsid w:val="005158BA"/>
    <w:rsid w:val="00536930"/>
    <w:rsid w:val="00540F9F"/>
    <w:rsid w:val="00553344"/>
    <w:rsid w:val="005534F7"/>
    <w:rsid w:val="00564E53"/>
    <w:rsid w:val="00572483"/>
    <w:rsid w:val="005A16D9"/>
    <w:rsid w:val="005B2993"/>
    <w:rsid w:val="005D24FB"/>
    <w:rsid w:val="005D48D6"/>
    <w:rsid w:val="005D4B30"/>
    <w:rsid w:val="005D5659"/>
    <w:rsid w:val="005D5790"/>
    <w:rsid w:val="00600C20"/>
    <w:rsid w:val="006214C7"/>
    <w:rsid w:val="00623FA1"/>
    <w:rsid w:val="00644FE2"/>
    <w:rsid w:val="00646699"/>
    <w:rsid w:val="0065759C"/>
    <w:rsid w:val="0067640C"/>
    <w:rsid w:val="006A5C52"/>
    <w:rsid w:val="006B29D5"/>
    <w:rsid w:val="006D7BB4"/>
    <w:rsid w:val="006E678B"/>
    <w:rsid w:val="006E7B1D"/>
    <w:rsid w:val="006F7F5A"/>
    <w:rsid w:val="0070136D"/>
    <w:rsid w:val="00723738"/>
    <w:rsid w:val="007322B5"/>
    <w:rsid w:val="00733AF3"/>
    <w:rsid w:val="00734654"/>
    <w:rsid w:val="00745058"/>
    <w:rsid w:val="00745E3F"/>
    <w:rsid w:val="007757F3"/>
    <w:rsid w:val="007808A3"/>
    <w:rsid w:val="0078798C"/>
    <w:rsid w:val="007C1B48"/>
    <w:rsid w:val="007E3B15"/>
    <w:rsid w:val="007E6AEB"/>
    <w:rsid w:val="00810A52"/>
    <w:rsid w:val="00832D26"/>
    <w:rsid w:val="008416AA"/>
    <w:rsid w:val="008643A7"/>
    <w:rsid w:val="00873B09"/>
    <w:rsid w:val="00884E2A"/>
    <w:rsid w:val="008973EE"/>
    <w:rsid w:val="008B25D9"/>
    <w:rsid w:val="008B4148"/>
    <w:rsid w:val="008B49E2"/>
    <w:rsid w:val="008C6D0D"/>
    <w:rsid w:val="008D1CF2"/>
    <w:rsid w:val="008E686A"/>
    <w:rsid w:val="00920C10"/>
    <w:rsid w:val="00971600"/>
    <w:rsid w:val="009831C8"/>
    <w:rsid w:val="00986F9D"/>
    <w:rsid w:val="009973B4"/>
    <w:rsid w:val="009C28C1"/>
    <w:rsid w:val="009C3788"/>
    <w:rsid w:val="009F7EED"/>
    <w:rsid w:val="00A30CCE"/>
    <w:rsid w:val="00A3385A"/>
    <w:rsid w:val="00A3671C"/>
    <w:rsid w:val="00A72D62"/>
    <w:rsid w:val="00A80636"/>
    <w:rsid w:val="00A87850"/>
    <w:rsid w:val="00A9619C"/>
    <w:rsid w:val="00AA1A91"/>
    <w:rsid w:val="00AA486B"/>
    <w:rsid w:val="00AC2C11"/>
    <w:rsid w:val="00AD12D0"/>
    <w:rsid w:val="00AE46F3"/>
    <w:rsid w:val="00AF0AAB"/>
    <w:rsid w:val="00B30DDC"/>
    <w:rsid w:val="00B574FA"/>
    <w:rsid w:val="00BE1E83"/>
    <w:rsid w:val="00BF597E"/>
    <w:rsid w:val="00C10B81"/>
    <w:rsid w:val="00C10E5B"/>
    <w:rsid w:val="00C51A36"/>
    <w:rsid w:val="00C55228"/>
    <w:rsid w:val="00C63768"/>
    <w:rsid w:val="00C66276"/>
    <w:rsid w:val="00C74F8B"/>
    <w:rsid w:val="00C77034"/>
    <w:rsid w:val="00C96C18"/>
    <w:rsid w:val="00CA7A6A"/>
    <w:rsid w:val="00CC5268"/>
    <w:rsid w:val="00CD3FF5"/>
    <w:rsid w:val="00CD6703"/>
    <w:rsid w:val="00CE315A"/>
    <w:rsid w:val="00CF6946"/>
    <w:rsid w:val="00D05FCC"/>
    <w:rsid w:val="00D06F59"/>
    <w:rsid w:val="00D30384"/>
    <w:rsid w:val="00D31707"/>
    <w:rsid w:val="00D57818"/>
    <w:rsid w:val="00D6143C"/>
    <w:rsid w:val="00D64E7C"/>
    <w:rsid w:val="00D72925"/>
    <w:rsid w:val="00D8128D"/>
    <w:rsid w:val="00D8197A"/>
    <w:rsid w:val="00D8388C"/>
    <w:rsid w:val="00D87C53"/>
    <w:rsid w:val="00D930B4"/>
    <w:rsid w:val="00DA7348"/>
    <w:rsid w:val="00DD02F4"/>
    <w:rsid w:val="00DD483F"/>
    <w:rsid w:val="00E011FD"/>
    <w:rsid w:val="00E0700E"/>
    <w:rsid w:val="00E316F9"/>
    <w:rsid w:val="00E50298"/>
    <w:rsid w:val="00E61C87"/>
    <w:rsid w:val="00E6224C"/>
    <w:rsid w:val="00E95784"/>
    <w:rsid w:val="00E96DF7"/>
    <w:rsid w:val="00EA37D1"/>
    <w:rsid w:val="00EB0164"/>
    <w:rsid w:val="00EB1445"/>
    <w:rsid w:val="00EB3431"/>
    <w:rsid w:val="00ED0F62"/>
    <w:rsid w:val="00ED1CC0"/>
    <w:rsid w:val="00ED237E"/>
    <w:rsid w:val="00ED26D9"/>
    <w:rsid w:val="00EE7BEB"/>
    <w:rsid w:val="00EF36BB"/>
    <w:rsid w:val="00F474DA"/>
    <w:rsid w:val="00F51DFC"/>
    <w:rsid w:val="00F67C5F"/>
    <w:rsid w:val="00F850FF"/>
    <w:rsid w:val="00FB38DE"/>
    <w:rsid w:val="00FF3211"/>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4F368E"/>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0"/>
    <w:semiHidden/>
    <w:unhideWhenUsed/>
    <w:qFormat/>
    <w:uiPriority w:val="99"/>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2"/>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 w:type="paragraph" w:customStyle="1" w:styleId="1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1303</Words>
  <Characters>7428</Characters>
  <Lines>61</Lines>
  <Paragraphs>17</Paragraphs>
  <TotalTime>1</TotalTime>
  <ScaleCrop>false</ScaleCrop>
  <LinksUpToDate>false</LinksUpToDate>
  <CharactersWithSpaces>8714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2021-05-28T13:54:25Z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6A12F11E3F9D4AF99BF34E74210A7575</vt:lpwstr>
  </property>
</Properties>
</file>