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河北报业传媒集团印务有限公司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09.01.02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接收—拼版—制版—上机印刷—印后加工（剪切、折页、装订）—成品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废气排放、废水排放、噪声排放、固废排放、潜在火灾的发生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环境保护法、安全生产法、DB13/2322-2016、GB18483-2001、GB37822-2019、GB8978-1996、GB12348-2008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bookmarkStart w:id="6" w:name="_GoBack"/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2021.5.20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2021.5.20</w:t>
      </w:r>
    </w:p>
    <w:bookmarkEnd w:id="6"/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121122"/>
    <w:rsid w:val="16A34271"/>
    <w:rsid w:val="37B30ADB"/>
    <w:rsid w:val="54D27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8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2021-05-23T11:08:05Z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C97F8277783D4128BDD7241BEBAB3262</vt:lpwstr>
  </property>
</Properties>
</file>