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西安纽克利核科技有限公司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西安纽克利核科技有限公司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陕西省西安市雁塔区雁翔路99号西安交大科技园博源科技广场C座414室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陕西省西安市雁塔区雁翔路99号西安交大科技园博源科技广场C座414室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汪少杰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核与辐射监测类仪器、应用软件研发、销售和技术服务。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33.02.01;34.05.00;34.06.00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eastAsia" w:ascii="宋体" w:hAnsi="宋体" w:eastAsia="宋体" w:cs="Times New Roman"/>
                <w:b/>
                <w:bCs w:val="0"/>
                <w:color w:val="000000"/>
                <w:kern w:val="2"/>
                <w:sz w:val="20"/>
                <w:szCs w:val="20"/>
                <w:lang w:val="en-US" w:eastAsia="zh-CN" w:bidi="ar-SA"/>
              </w:rPr>
            </w:pPr>
            <w:r>
              <w:rPr>
                <w:rFonts w:hint="eastAsia" w:ascii="宋体" w:hAnsi="宋体" w:eastAsia="宋体" w:cs="Times New Roman"/>
                <w:b/>
                <w:bCs w:val="0"/>
                <w:color w:val="000000"/>
                <w:sz w:val="20"/>
                <w:szCs w:val="20"/>
                <w:lang w:val="en-US" w:eastAsia="zh-CN"/>
              </w:rPr>
              <w:t>高管层</w:t>
            </w:r>
          </w:p>
        </w:tc>
        <w:tc>
          <w:tcPr>
            <w:tcW w:w="6804" w:type="dxa"/>
            <w:vAlign w:val="top"/>
          </w:tcPr>
          <w:p>
            <w:pPr>
              <w:spacing w:line="240" w:lineRule="auto"/>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default" w:ascii="宋体" w:hAnsi="宋体" w:eastAsia="宋体" w:cs="Times New Roman"/>
                <w:b/>
                <w:bCs w:val="0"/>
                <w:color w:val="000000"/>
                <w:kern w:val="2"/>
                <w:sz w:val="20"/>
                <w:szCs w:val="20"/>
                <w:lang w:val="en-US" w:eastAsia="zh-CN" w:bidi="ar-SA"/>
              </w:rPr>
            </w:pPr>
            <w:r>
              <w:rPr>
                <w:rFonts w:hint="eastAsia" w:ascii="宋体" w:hAnsi="宋体" w:eastAsia="宋体" w:cs="Times New Roman"/>
                <w:b/>
                <w:bCs w:val="0"/>
                <w:color w:val="000000"/>
                <w:sz w:val="20"/>
                <w:szCs w:val="20"/>
                <w:lang w:val="en-US" w:eastAsia="zh-CN"/>
              </w:rPr>
              <w:t>行政部</w:t>
            </w:r>
          </w:p>
        </w:tc>
        <w:tc>
          <w:tcPr>
            <w:tcW w:w="6804" w:type="dxa"/>
            <w:vAlign w:val="top"/>
          </w:tcPr>
          <w:p>
            <w:pPr>
              <w:spacing w:line="240" w:lineRule="auto"/>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eastAsia" w:ascii="宋体" w:hAnsi="宋体" w:eastAsia="宋体" w:cs="Times New Roman"/>
                <w:b/>
                <w:bCs w:val="0"/>
                <w:color w:val="000000"/>
                <w:kern w:val="2"/>
                <w:sz w:val="20"/>
                <w:szCs w:val="20"/>
                <w:lang w:val="en-US" w:eastAsia="zh-CN" w:bidi="ar-SA"/>
              </w:rPr>
            </w:pPr>
            <w:r>
              <w:rPr>
                <w:rFonts w:hint="eastAsia" w:ascii="宋体" w:hAnsi="宋体" w:eastAsia="宋体" w:cs="Times New Roman"/>
                <w:b/>
                <w:bCs w:val="0"/>
                <w:color w:val="000000"/>
                <w:sz w:val="20"/>
                <w:szCs w:val="20"/>
                <w:lang w:val="en-US" w:eastAsia="zh-CN"/>
              </w:rPr>
              <w:t>市场部</w:t>
            </w:r>
          </w:p>
        </w:tc>
        <w:tc>
          <w:tcPr>
            <w:tcW w:w="6804" w:type="dxa"/>
            <w:vAlign w:val="top"/>
          </w:tcPr>
          <w:p>
            <w:pPr>
              <w:spacing w:line="240" w:lineRule="auto"/>
              <w:jc w:val="both"/>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采购过程相关等过程、销售过程、客户满意等及相应质量管理体系运行过程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eastAsia" w:ascii="宋体" w:hAnsi="宋体" w:eastAsia="宋体" w:cs="Times New Roman"/>
                <w:b/>
                <w:bCs w:val="0"/>
                <w:color w:val="000000"/>
                <w:kern w:val="2"/>
                <w:sz w:val="20"/>
                <w:szCs w:val="20"/>
                <w:lang w:val="en-US" w:eastAsia="zh-CN" w:bidi="ar-SA"/>
              </w:rPr>
            </w:pPr>
            <w:r>
              <w:rPr>
                <w:rFonts w:hint="eastAsia" w:ascii="宋体" w:hAnsi="宋体" w:eastAsia="宋体" w:cs="Times New Roman"/>
                <w:b/>
                <w:bCs w:val="0"/>
                <w:color w:val="000000"/>
                <w:sz w:val="20"/>
                <w:szCs w:val="20"/>
                <w:lang w:val="en-US" w:eastAsia="zh-CN"/>
              </w:rPr>
              <w:t>技术部</w:t>
            </w:r>
          </w:p>
        </w:tc>
        <w:tc>
          <w:tcPr>
            <w:tcW w:w="6804" w:type="dxa"/>
            <w:vAlign w:val="top"/>
          </w:tcPr>
          <w:p>
            <w:pPr>
              <w:spacing w:line="240" w:lineRule="auto"/>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spacing w:val="-20"/>
                <w:sz w:val="21"/>
                <w:szCs w:val="21"/>
              </w:rPr>
              <w:t>基础设施、</w:t>
            </w:r>
            <w:r>
              <w:rPr>
                <w:rFonts w:hint="eastAsia" w:ascii="宋体" w:hAnsi="宋体"/>
                <w:b/>
                <w:bCs w:val="0"/>
                <w:color w:val="000000" w:themeColor="text1"/>
                <w:sz w:val="21"/>
                <w:szCs w:val="21"/>
                <w:lang w:val="en-US" w:eastAsia="zh-CN"/>
              </w:rPr>
              <w:t>生产</w:t>
            </w:r>
            <w:r>
              <w:rPr>
                <w:rFonts w:ascii="宋体" w:hAnsi="宋体"/>
                <w:b/>
                <w:bCs w:val="0"/>
                <w:color w:val="000000" w:themeColor="text1"/>
                <w:sz w:val="21"/>
                <w:szCs w:val="21"/>
              </w:rPr>
              <w:t>过程管理</w:t>
            </w:r>
            <w:r>
              <w:rPr>
                <w:rFonts w:hint="eastAsia" w:ascii="宋体" w:hAnsi="宋体"/>
                <w:b/>
                <w:bCs w:val="0"/>
                <w:color w:val="000000" w:themeColor="text1"/>
                <w:sz w:val="21"/>
                <w:szCs w:val="21"/>
              </w:rPr>
              <w:t>；</w:t>
            </w:r>
            <w:r>
              <w:rPr>
                <w:rFonts w:ascii="宋体" w:hAnsi="宋体"/>
                <w:b/>
                <w:bCs w:val="0"/>
                <w:color w:val="000000" w:themeColor="text1"/>
                <w:sz w:val="21"/>
                <w:szCs w:val="21"/>
              </w:rPr>
              <w:t>设备管理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rPr>
            </w:pPr>
            <w:r>
              <w:t>1、</w:t>
            </w:r>
            <w:r>
              <w:rPr>
                <w:rFonts w:hint="eastAsia"/>
              </w:rPr>
              <w:t>组织及其环境的识别情况</w:t>
            </w:r>
          </w:p>
          <w:p>
            <w:pPr>
              <w:spacing w:line="360" w:lineRule="auto"/>
              <w:ind w:firstLine="420" w:firstLineChars="200"/>
              <w:rPr>
                <w:rFonts w:hint="eastAsia"/>
                <w:szCs w:val="21"/>
                <w:lang w:eastAsia="zh-CN"/>
              </w:rPr>
            </w:pPr>
            <w:r>
              <w:rPr>
                <w:rFonts w:hint="eastAsia"/>
                <w:szCs w:val="21"/>
                <w:lang w:eastAsia="zh-CN"/>
              </w:rPr>
              <w:t>西安纽克利核科技有限公司</w:t>
            </w:r>
            <w:r>
              <w:rPr>
                <w:rFonts w:hint="eastAsia"/>
                <w:szCs w:val="21"/>
                <w:lang w:val="en-US" w:eastAsia="zh-CN"/>
              </w:rPr>
              <w:t>成立于2017年</w:t>
            </w:r>
            <w:r>
              <w:rPr>
                <w:rFonts w:hint="eastAsia"/>
                <w:szCs w:val="21"/>
                <w:lang w:eastAsia="zh-CN"/>
              </w:rPr>
              <w:t>，是一家专业从事核与辐射监测类仪器应用软件开发、销售及服务于一体的新型高技术企业。公司拥有一流的软件产品设计和开发团队，专注于研发具有自主核心技术和知识产权的软件产品，为10余家客户提供先进、实用、可靠的信息化技术服务。</w:t>
            </w:r>
          </w:p>
          <w:p>
            <w:pPr>
              <w:spacing w:line="360" w:lineRule="auto"/>
              <w:ind w:firstLine="420" w:firstLineChars="200"/>
              <w:rPr>
                <w:rFonts w:hint="default"/>
                <w:szCs w:val="21"/>
                <w:lang w:val="en-US" w:eastAsia="zh-CN"/>
              </w:rPr>
            </w:pPr>
            <w:r>
              <w:rPr>
                <w:rFonts w:hint="eastAsia"/>
                <w:szCs w:val="21"/>
                <w:lang w:val="en-US" w:eastAsia="zh-CN"/>
              </w:rPr>
              <w:t>提供</w:t>
            </w:r>
            <w:r>
              <w:rPr>
                <w:rFonts w:hint="eastAsia"/>
                <w:szCs w:val="21"/>
                <w:lang w:eastAsia="zh-CN"/>
              </w:rPr>
              <w:t>法人营业执照（三证合一），公司成立于</w:t>
            </w:r>
            <w:r>
              <w:rPr>
                <w:rFonts w:hint="eastAsia"/>
                <w:szCs w:val="21"/>
                <w:lang w:val="en-US" w:eastAsia="zh-CN"/>
              </w:rPr>
              <w:t>2017-09-07</w:t>
            </w:r>
            <w:r>
              <w:rPr>
                <w:rFonts w:hint="eastAsia"/>
                <w:szCs w:val="21"/>
                <w:lang w:eastAsia="zh-CN"/>
              </w:rPr>
              <w:t>，营业执照社会统一信用代码：91610113MA6U7PRL5C,</w:t>
            </w:r>
            <w:r>
              <w:rPr>
                <w:rFonts w:hint="eastAsia"/>
                <w:szCs w:val="21"/>
                <w:lang w:val="en-US" w:eastAsia="zh-CN"/>
              </w:rPr>
              <w:t>法人</w:t>
            </w:r>
            <w:r>
              <w:rPr>
                <w:rFonts w:hint="eastAsia"/>
                <w:szCs w:val="21"/>
                <w:lang w:eastAsia="zh-CN"/>
              </w:rPr>
              <w:t>代表人 汪少杰</w:t>
            </w:r>
            <w:r>
              <w:rPr>
                <w:rFonts w:hint="eastAsia"/>
                <w:szCs w:val="21"/>
                <w:lang w:val="en-US" w:eastAsia="zh-CN"/>
              </w:rPr>
              <w:t>；注册资本：300万元。经营期限：长期。</w:t>
            </w:r>
          </w:p>
          <w:p>
            <w:pPr>
              <w:spacing w:line="360" w:lineRule="auto"/>
              <w:ind w:firstLine="420" w:firstLineChars="200"/>
              <w:rPr>
                <w:rFonts w:hint="default" w:ascii="宋体" w:hAnsi="宋体" w:eastAsia="宋体" w:cs="宋体"/>
                <w:kern w:val="2"/>
                <w:sz w:val="21"/>
                <w:szCs w:val="21"/>
                <w:lang w:val="en-US" w:eastAsia="zh-CN" w:bidi="ar-SA"/>
              </w:rPr>
            </w:pPr>
            <w:r>
              <w:rPr>
                <w:rFonts w:hint="eastAsia"/>
                <w:szCs w:val="21"/>
                <w:lang w:val="en-US" w:eastAsia="zh-CN"/>
              </w:rPr>
              <w:t>注册地址：</w:t>
            </w:r>
            <w:r>
              <w:rPr>
                <w:rFonts w:hint="eastAsia"/>
                <w:szCs w:val="21"/>
                <w:lang w:eastAsia="zh-CN"/>
              </w:rPr>
              <w:t>陕西省西安市雁塔区雁翔路99号西安交大科技园博源科技广场C座414室。</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pStyle w:val="3"/>
              <w:ind w:left="480" w:leftChars="0"/>
              <w:rPr>
                <w:b/>
                <w:color w:val="000000" w:themeColor="text1"/>
                <w:sz w:val="20"/>
                <w:szCs w:val="20"/>
              </w:rPr>
            </w:pPr>
            <w:r>
              <w:rPr>
                <w:rFonts w:hint="eastAsia" w:ascii="宋体" w:hAnsi="宋体" w:eastAsia="宋体" w:cs="宋体"/>
                <w:kern w:val="2"/>
                <w:sz w:val="21"/>
                <w:szCs w:val="21"/>
                <w:lang w:val="en-US" w:eastAsia="zh-CN" w:bidi="ar-SA"/>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rPr>
                <w:rFonts w:hint="eastAsia"/>
                <w:b w:val="0"/>
                <w:bCs/>
                <w:color w:val="000000" w:themeColor="text1"/>
                <w:sz w:val="20"/>
                <w:szCs w:val="20"/>
              </w:rPr>
            </w:pPr>
            <w:r>
              <w:rPr>
                <w:rFonts w:hint="eastAsia"/>
                <w:b w:val="0"/>
                <w:bCs/>
                <w:color w:val="000000" w:themeColor="text1"/>
                <w:sz w:val="20"/>
                <w:szCs w:val="20"/>
              </w:rPr>
              <w:t>公司识别并确定了利益相关方：顾客、外部供应商、员工及其他为本公司工作的人员或组织等。</w:t>
            </w:r>
          </w:p>
          <w:p>
            <w:pPr>
              <w:spacing w:line="360" w:lineRule="auto"/>
              <w:rPr>
                <w:b/>
                <w:color w:val="000000" w:themeColor="text1"/>
                <w:sz w:val="20"/>
                <w:szCs w:val="20"/>
              </w:rPr>
            </w:pPr>
            <w:r>
              <w:rPr>
                <w:rFonts w:hint="eastAsia"/>
                <w:b w:val="0"/>
                <w:bCs/>
                <w:color w:val="000000" w:themeColor="text1"/>
                <w:sz w:val="20"/>
                <w:szCs w:val="20"/>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宋体"/>
                <w:sz w:val="21"/>
                <w:szCs w:val="21"/>
                <w:lang w:eastAsia="zh-CN"/>
              </w:rPr>
              <w:t>倾心关注客户利益；创建一流研发企业。真诚服务提升价值；持续改进追求卓越。。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numPr>
                <w:numId w:val="0"/>
              </w:numPr>
              <w:spacing w:line="240" w:lineRule="exact"/>
              <w:ind w:leftChars="0"/>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Times New Roman" w:hAnsi="Times New Roman" w:eastAsia="宋体" w:cs="Times New Roman"/>
                <w:szCs w:val="21"/>
                <w:lang w:val="en-US" w:eastAsia="zh-CN"/>
              </w:rPr>
              <w:t>核与辐射监测类仪器、计算机应</w:t>
            </w:r>
            <w:r>
              <w:rPr>
                <w:rFonts w:hint="eastAsia"/>
                <w:szCs w:val="21"/>
                <w:lang w:val="en-US" w:eastAsia="zh-CN"/>
              </w:rPr>
              <w:t>用软件开发及销售、技术服务</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销售服务过程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2" o:spid="_x0000_s2052"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客户满意度＞90%</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产品交付合格率100%</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合同按时间交付率100%</w:t>
            </w:r>
          </w:p>
          <w:p>
            <w:pPr>
              <w:spacing w:line="360" w:lineRule="auto"/>
              <w:rPr>
                <w:rFonts w:ascii="宋体" w:hAnsi="宋体"/>
                <w:b/>
                <w:color w:val="000000" w:themeColor="text1"/>
              </w:rPr>
            </w:pPr>
            <w:r>
              <w:rPr>
                <w:rFonts w:hint="eastAsia" w:ascii="宋体" w:hAnsi="宋体" w:eastAsia="宋体" w:cs="宋体"/>
                <w:szCs w:val="22"/>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公司按照申请认证的标准要求，建立并形成了文件化的质量管理体系文件，体系文件对管理体系各过程进行了识别确定、明确了各要素间的相互关系及其管控要求。公司体系文件于2020年</w:t>
            </w:r>
            <w:r>
              <w:rPr>
                <w:rFonts w:hint="eastAsia" w:ascii="宋体" w:hAnsi="宋体"/>
                <w:b w:val="0"/>
                <w:bCs/>
                <w:color w:val="000000" w:themeColor="text1"/>
                <w:sz w:val="20"/>
                <w:szCs w:val="20"/>
                <w:lang w:val="en-US" w:eastAsia="zh-CN"/>
              </w:rPr>
              <w:t>11</w:t>
            </w:r>
            <w:r>
              <w:rPr>
                <w:rFonts w:hint="eastAsia" w:ascii="宋体" w:hAnsi="宋体"/>
                <w:b w:val="0"/>
                <w:bCs/>
                <w:color w:val="000000" w:themeColor="text1"/>
                <w:sz w:val="20"/>
                <w:szCs w:val="20"/>
              </w:rPr>
              <w:t>月1</w:t>
            </w:r>
            <w:r>
              <w:rPr>
                <w:rFonts w:hint="eastAsia" w:ascii="宋体" w:hAnsi="宋体"/>
                <w:b w:val="0"/>
                <w:bCs/>
                <w:color w:val="000000" w:themeColor="text1"/>
                <w:sz w:val="20"/>
                <w:szCs w:val="20"/>
                <w:lang w:val="en-US" w:eastAsia="zh-CN"/>
              </w:rPr>
              <w:t>5</w:t>
            </w:r>
            <w:r>
              <w:rPr>
                <w:rFonts w:hint="eastAsia" w:ascii="宋体" w:hAnsi="宋体"/>
                <w:b w:val="0"/>
                <w:bCs/>
                <w:color w:val="000000" w:themeColor="text1"/>
                <w:sz w:val="20"/>
                <w:szCs w:val="20"/>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lang w:val="en-US" w:eastAsia="zh-CN"/>
              </w:rPr>
              <w:t xml:space="preserve"> </w:t>
            </w:r>
            <w:r>
              <w:rPr>
                <w:rFonts w:hint="eastAsia" w:ascii="宋体" w:hAnsi="宋体"/>
                <w:b/>
                <w:color w:val="000000" w:themeColor="text1"/>
                <w:sz w:val="20"/>
                <w:szCs w:val="20"/>
              </w:rPr>
              <w:t>:</w:t>
            </w:r>
          </w:p>
          <w:p>
            <w:pPr>
              <w:spacing w:line="360" w:lineRule="auto"/>
              <w:ind w:firstLine="400" w:firstLineChars="200"/>
              <w:rPr>
                <w:rFonts w:hint="eastAsia" w:ascii="宋体" w:hAnsi="宋体"/>
                <w:b w:val="0"/>
                <w:bCs/>
                <w:color w:val="000000" w:themeColor="text1"/>
                <w:sz w:val="20"/>
                <w:szCs w:val="20"/>
              </w:rPr>
            </w:pPr>
            <w:r>
              <w:rPr>
                <w:rFonts w:hint="eastAsia" w:ascii="宋体" w:hAnsi="宋体"/>
                <w:b w:val="0"/>
                <w:bCs/>
                <w:color w:val="000000" w:themeColor="text1"/>
                <w:sz w:val="20"/>
                <w:szCs w:val="20"/>
              </w:rPr>
              <w:t>组织按管理体系需求配置了充足的人员、设施、监视和测量设备等资源，并建立维持了产品的生产及相关服务运行环境，可以维持管理体系的正常运行。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hint="eastAsia" w:ascii="宋体" w:hAnsi="宋体"/>
                <w:color w:val="0000FF"/>
                <w:szCs w:val="21"/>
              </w:rPr>
            </w:pPr>
            <w:r>
              <w:rPr>
                <w:rFonts w:hint="eastAsia"/>
                <w:szCs w:val="21"/>
                <w:lang w:val="en-US" w:eastAsia="zh-CN"/>
              </w:rPr>
              <w:t>配置了办公电脑12台；打印/复印机2台；办公桌椅、文件柜等。公司设备配置，主要为研发所用的笔记本电脑、系统集成所用的OTDR、万用表等。</w:t>
            </w:r>
          </w:p>
          <w:p>
            <w:pPr>
              <w:spacing w:line="360" w:lineRule="auto"/>
              <w:rPr>
                <w:rFonts w:ascii="宋体" w:hAnsi="宋体"/>
                <w:b/>
                <w:color w:val="000000" w:themeColor="text1"/>
                <w:sz w:val="20"/>
                <w:szCs w:val="20"/>
              </w:rPr>
            </w:pPr>
            <w:r>
              <w:rPr>
                <w:rFonts w:hint="eastAsia" w:ascii="宋体" w:hAnsi="宋体"/>
                <w:szCs w:val="21"/>
              </w:rPr>
              <w:t>特种设备：</w:t>
            </w:r>
            <w:r>
              <w:rPr>
                <w:rFonts w:hint="eastAsia" w:ascii="宋体" w:hAnsi="宋体"/>
                <w:szCs w:val="21"/>
                <w:lang w:val="en-US" w:eastAsia="zh-CN"/>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hint="eastAsia" w:ascii="Times New Roman" w:hAnsi="Times New Roman" w:eastAsia="宋体" w:cs="Times New Roman"/>
                <w:szCs w:val="21"/>
                <w:lang w:val="en-US" w:eastAsia="zh-CN"/>
              </w:rPr>
            </w:pPr>
            <w:r>
              <w:rPr>
                <w:rFonts w:hint="eastAsia" w:ascii="宋体" w:hAnsi="宋体" w:eastAsia="宋体" w:cs="Times New Roman"/>
                <w:color w:val="auto"/>
                <w:spacing w:val="-10"/>
                <w:sz w:val="20"/>
                <w:szCs w:val="20"/>
                <w:lang w:val="en-US" w:eastAsia="zh-CN"/>
              </w:rPr>
              <w:t>软</w:t>
            </w:r>
            <w:r>
              <w:rPr>
                <w:rFonts w:hint="eastAsia" w:ascii="Times New Roman" w:hAnsi="Times New Roman" w:eastAsia="宋体" w:cs="Times New Roman"/>
                <w:szCs w:val="21"/>
                <w:lang w:val="en-US" w:eastAsia="zh-CN"/>
              </w:rPr>
              <w:t>件系统软件研发过程和办公过程对环境要求一般，无特殊要求，办公室环境卫生较好。</w:t>
            </w:r>
          </w:p>
          <w:p>
            <w:pPr>
              <w:spacing w:line="360" w:lineRule="auto"/>
              <w:rPr>
                <w:rFonts w:ascii="宋体" w:hAnsi="宋体"/>
                <w:b/>
                <w:color w:val="000000" w:themeColor="text1"/>
                <w:sz w:val="20"/>
                <w:szCs w:val="20"/>
              </w:rPr>
            </w:pPr>
            <w:r>
              <w:rPr>
                <w:rFonts w:hint="eastAsia" w:ascii="Times New Roman" w:hAnsi="Times New Roman" w:eastAsia="宋体" w:cs="Times New Roman"/>
                <w:szCs w:val="21"/>
                <w:lang w:val="en-US" w:eastAsia="zh-CN"/>
              </w:rPr>
              <w:t>办公环境光照、温度适宜，通风良好，电路布线合理、电气插座完整，未见破损，办公场所物品摆放整齐、有序，未见随意乱放私人物品的情况，未见用电不当等安全隐患及不良影响现象。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Cs w:val="21"/>
                <w:lang w:eastAsia="zh-CN"/>
              </w:rPr>
              <w:t>公司</w:t>
            </w:r>
            <w:r>
              <w:rPr>
                <w:rFonts w:hint="eastAsia"/>
                <w:szCs w:val="21"/>
                <w:lang w:val="en-US" w:eastAsia="zh-CN"/>
              </w:rPr>
              <w:t>主要OTDR、万用表测量设备</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网络信息，从顾客或外部供方收集的知识）。</w:t>
            </w:r>
          </w:p>
          <w:p>
            <w:pPr>
              <w:spacing w:line="360" w:lineRule="auto"/>
              <w:rPr>
                <w:rFonts w:ascii="宋体" w:hAnsi="宋体"/>
                <w:b/>
                <w:color w:val="000000" w:themeColor="text1"/>
                <w:sz w:val="20"/>
                <w:szCs w:val="20"/>
              </w:rPr>
            </w:pPr>
            <w:r>
              <w:rPr>
                <w:rFonts w:hint="eastAsia" w:ascii="Times New Roman" w:hAnsi="Times New Roman" w:eastAsia="宋体" w:cs="Times New Roman"/>
                <w:szCs w:val="21"/>
                <w:lang w:val="en-US" w:eastAsia="zh-CN"/>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Times New Roman"/>
                <w:szCs w:val="21"/>
                <w:lang w:eastAsia="zh-CN"/>
              </w:rPr>
              <w:t>倾心关注客户利益；创建一流研发企业。真诚服务提升价值；持续改进追求卓越。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b w:val="0"/>
                <w:bCs/>
                <w:color w:val="000000" w:themeColor="text1"/>
                <w:sz w:val="20"/>
                <w:szCs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无关键工序和特殊过程，能力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企业参考国家行业主要有：</w:t>
            </w:r>
            <w:r>
              <w:rPr>
                <w:rFonts w:hint="eastAsia" w:ascii="宋体" w:hAnsi="宋体"/>
                <w:szCs w:val="21"/>
                <w:lang w:eastAsia="zh-CN"/>
              </w:rPr>
              <w:t>计算机信息系统安全保护等级划分准则、计算机软件单元测试、计算机软件可靠性和可维护性管理、信息技术 软件生存周期过程 、计算机软件文档编制规范、计算机软件需求规格说明规范、计算机软件测试文档编制规范、核辐射探测器环境条件与试验方法GB/T 10263-2006、核仪器和核辐射探测器质量检验规则GB/T 10257-2001等</w:t>
            </w:r>
            <w:r>
              <w:rPr>
                <w:rFonts w:hint="eastAsia" w:ascii="宋体" w:hAnsi="宋体" w:eastAsia="宋体" w:cs="宋体"/>
                <w:b w:val="0"/>
                <w:bCs w:val="0"/>
                <w:sz w:val="21"/>
                <w:szCs w:val="21"/>
              </w:rPr>
              <w:t>和客户要求。</w:t>
            </w:r>
          </w:p>
          <w:p>
            <w:pPr>
              <w:spacing w:line="300" w:lineRule="exact"/>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提供了检验记录，检验合格，满足顾客要求。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b w:val="0"/>
                <w:bCs/>
                <w:color w:val="000000" w:themeColor="text1"/>
                <w:sz w:val="20"/>
                <w:szCs w:val="20"/>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b/>
                <w:color w:val="000000" w:themeColor="text1"/>
                <w:sz w:val="20"/>
                <w:szCs w:val="20"/>
              </w:rPr>
            </w:pPr>
            <w:r>
              <w:rPr>
                <w:rFonts w:hint="eastAsia"/>
                <w:b/>
                <w:color w:val="000000" w:themeColor="text1"/>
                <w:sz w:val="20"/>
                <w:szCs w:val="20"/>
                <w:lang w:val="en-US" w:eastAsia="zh-CN"/>
              </w:rPr>
              <w:t>无</w:t>
            </w:r>
            <w:r>
              <w:rPr>
                <w:rFonts w:hint="eastAsia"/>
                <w:b/>
                <w:color w:val="000000" w:themeColor="text1"/>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11</w:t>
            </w:r>
            <w:r>
              <w:rPr>
                <w:rFonts w:hint="eastAsia" w:ascii="宋体" w:hAnsi="宋体" w:cs="宋体"/>
                <w:color w:val="000000"/>
                <w:szCs w:val="21"/>
              </w:rPr>
              <w:t>-</w:t>
            </w:r>
            <w:r>
              <w:rPr>
                <w:rFonts w:hint="eastAsia" w:ascii="宋体" w:hAnsi="宋体" w:cs="宋体"/>
                <w:color w:val="000000"/>
                <w:szCs w:val="21"/>
                <w:lang w:val="en-US" w:eastAsia="zh-CN"/>
              </w:rPr>
              <w:t>2021.3</w:t>
            </w:r>
            <w:r>
              <w:rPr>
                <w:rFonts w:hint="eastAsia" w:ascii="宋体" w:hAnsi="宋体" w:cs="宋体"/>
                <w:color w:val="000000"/>
                <w:szCs w:val="21"/>
              </w:rPr>
              <w:t>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105" w:leftChars="-50" w:firstLine="0" w:firstLineChars="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8日统计</w:t>
            </w:r>
            <w:r>
              <w:rPr>
                <w:rFonts w:hint="eastAsia" w:ascii="宋体" w:hAnsi="宋体" w:cs="宋体"/>
                <w:color w:val="000000" w:themeColor="text1"/>
                <w:szCs w:val="21"/>
              </w:rPr>
              <w:t>，满意度评价达</w:t>
            </w:r>
            <w:r>
              <w:rPr>
                <w:rFonts w:hint="eastAsia" w:ascii="宋体" w:hAnsi="宋体" w:cs="宋体"/>
                <w:color w:val="000000" w:themeColor="text1"/>
                <w:szCs w:val="21"/>
                <w:lang w:val="en-US" w:eastAsia="zh-CN"/>
              </w:rPr>
              <w:t>96</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每年一次，本次202</w:t>
            </w:r>
            <w:r>
              <w:rPr>
                <w:rFonts w:hint="eastAsia" w:ascii="宋体" w:hAnsi="宋体" w:cs="宋体"/>
                <w:szCs w:val="22"/>
                <w:lang w:val="en-US" w:eastAsia="zh-CN"/>
              </w:rPr>
              <w:t>1</w:t>
            </w:r>
            <w:r>
              <w:rPr>
                <w:rFonts w:hint="eastAsia" w:ascii="宋体" w:hAnsi="宋体" w:cs="宋体"/>
                <w:szCs w:val="22"/>
              </w:rPr>
              <w:t>.</w:t>
            </w:r>
            <w:r>
              <w:rPr>
                <w:rFonts w:hint="eastAsia" w:ascii="宋体" w:hAnsi="宋体" w:cs="宋体"/>
                <w:szCs w:val="22"/>
                <w:lang w:val="en-US" w:eastAsia="zh-CN"/>
              </w:rPr>
              <w:t>4</w:t>
            </w:r>
            <w:r>
              <w:rPr>
                <w:rFonts w:hint="eastAsia" w:ascii="宋体" w:hAnsi="宋体" w:cs="宋体"/>
                <w:szCs w:val="22"/>
              </w:rPr>
              <w:t>.</w:t>
            </w:r>
            <w:r>
              <w:rPr>
                <w:rFonts w:hint="eastAsia" w:ascii="宋体" w:hAnsi="宋体" w:cs="宋体"/>
                <w:szCs w:val="22"/>
                <w:lang w:val="en-US" w:eastAsia="zh-CN"/>
              </w:rPr>
              <w:t>1</w:t>
            </w:r>
            <w:r>
              <w:rPr>
                <w:rFonts w:hint="eastAsia" w:ascii="宋体" w:hAnsi="宋体" w:cs="宋体"/>
                <w:szCs w:val="22"/>
              </w:rPr>
              <w:t>内审。</w:t>
            </w:r>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rPr>
                <w:b/>
                <w:color w:val="000000" w:themeColor="text1"/>
                <w:spacing w:val="-8"/>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每年一次，202</w:t>
            </w:r>
            <w:r>
              <w:rPr>
                <w:rFonts w:hint="eastAsia" w:ascii="宋体" w:hAnsi="宋体" w:cs="宋体"/>
                <w:szCs w:val="22"/>
                <w:lang w:val="en-US" w:eastAsia="zh-CN"/>
              </w:rPr>
              <w:t>1</w:t>
            </w:r>
            <w:r>
              <w:rPr>
                <w:rFonts w:hint="eastAsia" w:ascii="宋体" w:hAnsi="宋体" w:cs="宋体"/>
                <w:szCs w:val="22"/>
              </w:rPr>
              <w:t>.</w:t>
            </w:r>
            <w:r>
              <w:rPr>
                <w:rFonts w:hint="eastAsia" w:ascii="宋体" w:hAnsi="宋体" w:cs="宋体"/>
                <w:szCs w:val="22"/>
                <w:lang w:val="en-US" w:eastAsia="zh-CN"/>
              </w:rPr>
              <w:t>4</w:t>
            </w:r>
            <w:r>
              <w:rPr>
                <w:rFonts w:hint="eastAsia" w:ascii="宋体" w:hAnsi="宋体" w:cs="宋体"/>
                <w:szCs w:val="22"/>
              </w:rPr>
              <w:t>.</w:t>
            </w:r>
            <w:r>
              <w:rPr>
                <w:rFonts w:hint="eastAsia" w:ascii="宋体" w:hAnsi="宋体" w:cs="宋体"/>
                <w:szCs w:val="22"/>
                <w:lang w:val="en-US" w:eastAsia="zh-CN"/>
              </w:rPr>
              <w:t>26</w:t>
            </w:r>
            <w:r>
              <w:rPr>
                <w:rFonts w:hint="eastAsia" w:ascii="宋体" w:hAnsi="宋体" w:cs="宋体"/>
                <w:szCs w:val="22"/>
              </w:rPr>
              <w:t>日管理评审。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360" w:lineRule="auto"/>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360" w:lineRule="auto"/>
              <w:ind w:left="-105" w:leftChars="-50" w:firstLine="402" w:firstLineChars="20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组织体系运行满足标准要求，既定目标能达成，向顾客提供稳定、合格产品，满足适用的质量法规要求，实施措施基本有效。体系运行基本适宜、充分、有效，基本建立自我完善机制。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 xml:space="preserve"> </w:t>
            </w:r>
            <w:r>
              <w:rPr>
                <w:rFonts w:hint="eastAsia"/>
                <w:szCs w:val="21"/>
                <w:lang w:val="en-US" w:eastAsia="zh-CN"/>
              </w:rPr>
              <w:t>核与辐射监测类仪器、应用软件研发、销售和技术服务</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4384" behindDoc="0" locked="0" layoutInCell="1" allowOverlap="1">
            <wp:simplePos x="0" y="0"/>
            <wp:positionH relativeFrom="column">
              <wp:posOffset>1442720</wp:posOffset>
            </wp:positionH>
            <wp:positionV relativeFrom="paragraph">
              <wp:posOffset>239395</wp:posOffset>
            </wp:positionV>
            <wp:extent cx="643890" cy="535305"/>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643890" cy="53530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3360" behindDoc="0" locked="0" layoutInCell="1" allowOverlap="1">
            <wp:simplePos x="0" y="0"/>
            <wp:positionH relativeFrom="column">
              <wp:posOffset>1493520</wp:posOffset>
            </wp:positionH>
            <wp:positionV relativeFrom="paragraph">
              <wp:posOffset>20955</wp:posOffset>
            </wp:positionV>
            <wp:extent cx="643890" cy="53530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43890" cy="53530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5408" behindDoc="0" locked="0" layoutInCell="1" allowOverlap="1">
            <wp:simplePos x="0" y="0"/>
            <wp:positionH relativeFrom="column">
              <wp:posOffset>674370</wp:posOffset>
            </wp:positionH>
            <wp:positionV relativeFrom="paragraph">
              <wp:posOffset>24130</wp:posOffset>
            </wp:positionV>
            <wp:extent cx="643890" cy="535305"/>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6"/>
                    <a:stretch>
                      <a:fillRect/>
                    </a:stretch>
                  </pic:blipFill>
                  <pic:spPr>
                    <a:xfrm>
                      <a:off x="0" y="0"/>
                      <a:ext cx="643890" cy="535305"/>
                    </a:xfrm>
                    <a:prstGeom prst="rect">
                      <a:avLst/>
                    </a:prstGeom>
                  </pic:spPr>
                </pic:pic>
              </a:graphicData>
            </a:graphic>
          </wp:anchor>
        </w:drawing>
      </w:r>
      <w:r>
        <w:rPr>
          <w:rFonts w:hint="eastAsia"/>
          <w:b/>
          <w:color w:val="000000" w:themeColor="text1"/>
          <w:szCs w:val="21"/>
        </w:rPr>
        <w:t>组长签字:                               日期:</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30</w:t>
      </w:r>
      <w:r>
        <w:rPr>
          <w:rFonts w:hint="eastAsia"/>
          <w:b/>
          <w:color w:val="000000" w:themeColor="text1"/>
          <w:szCs w:val="21"/>
        </w:rPr>
        <w:t>日</w:t>
      </w:r>
      <w:bookmarkStart w:id="22" w:name="_GoBack"/>
      <w:bookmarkEnd w:id="22"/>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8FE3F"/>
    <w:multiLevelType w:val="singleLevel"/>
    <w:tmpl w:val="8E98FE3F"/>
    <w:lvl w:ilvl="0" w:tentative="0">
      <w:start w:val="2"/>
      <w:numFmt w:val="decimal"/>
      <w:lvlText w:val="%1."/>
      <w:lvlJc w:val="left"/>
      <w:pPr>
        <w:tabs>
          <w:tab w:val="left" w:pos="312"/>
        </w:tabs>
      </w:pPr>
    </w:lvl>
  </w:abstractNum>
  <w:abstractNum w:abstractNumId="1">
    <w:nsid w:val="48421066"/>
    <w:multiLevelType w:val="singleLevel"/>
    <w:tmpl w:val="4842106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CE4415"/>
    <w:rsid w:val="0D136D29"/>
    <w:rsid w:val="111D13F4"/>
    <w:rsid w:val="175A3D1A"/>
    <w:rsid w:val="22DF4922"/>
    <w:rsid w:val="2AF41F66"/>
    <w:rsid w:val="2B9C6FD0"/>
    <w:rsid w:val="30697C1E"/>
    <w:rsid w:val="41F93672"/>
    <w:rsid w:val="48570E06"/>
    <w:rsid w:val="56784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2021-05-30T02:39:01Z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CBF0CCA40F5E499F93DE7E55B5802252</vt:lpwstr>
  </property>
</Properties>
</file>