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rPr>
              <w:t xml:space="preserve">王海燕 </w:t>
            </w:r>
            <w:r>
              <w:rPr>
                <w:rFonts w:hint="eastAsia"/>
                <w:sz w:val="24"/>
                <w:szCs w:val="24"/>
              </w:rPr>
              <w:t xml:space="preserve">     陪同人员：</w:t>
            </w:r>
            <w:r>
              <w:rPr>
                <w:rFonts w:hint="eastAsia"/>
              </w:rPr>
              <w:t>王海凤</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姜小请</w:t>
            </w:r>
            <w:r>
              <w:rPr>
                <w:rFonts w:hint="eastAsia"/>
                <w:sz w:val="24"/>
                <w:szCs w:val="24"/>
              </w:rPr>
              <w:t xml:space="preserve">   审核时间：202</w:t>
            </w:r>
            <w:r>
              <w:rPr>
                <w:rFonts w:hint="eastAsia"/>
                <w:sz w:val="24"/>
                <w:szCs w:val="24"/>
                <w:lang w:val="en-US" w:eastAsia="zh-CN"/>
              </w:rPr>
              <w:t>1</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24</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r>
              <w:rPr>
                <w:rFonts w:hint="eastAsia"/>
                <w:szCs w:val="22"/>
              </w:rPr>
              <w:t>理解组织及其环境</w:t>
            </w:r>
          </w:p>
        </w:tc>
        <w:tc>
          <w:tcPr>
            <w:tcW w:w="960" w:type="dxa"/>
            <w:vAlign w:val="center"/>
          </w:tcPr>
          <w:p>
            <w:r>
              <w:t>E</w:t>
            </w:r>
            <w:r>
              <w:rPr>
                <w:rFonts w:hint="eastAsia"/>
                <w:lang w:val="en-US" w:eastAsia="zh-CN"/>
              </w:rPr>
              <w:t>O</w:t>
            </w:r>
            <w:r>
              <w:t>4.1</w:t>
            </w:r>
          </w:p>
        </w:tc>
        <w:tc>
          <w:tcPr>
            <w:tcW w:w="10004" w:type="dxa"/>
            <w:vAlign w:val="center"/>
          </w:tcPr>
          <w:p>
            <w:pPr>
              <w:rPr>
                <w:rFonts w:hint="eastAsia"/>
                <w:szCs w:val="22"/>
              </w:rPr>
            </w:pPr>
          </w:p>
          <w:p>
            <w:pPr>
              <w:rPr>
                <w:rFonts w:hint="eastAsia"/>
              </w:rPr>
            </w:pPr>
            <w:r>
              <w:rPr>
                <w:rFonts w:hint="eastAsia"/>
              </w:rPr>
              <w:t xml:space="preserve">总经理：王海燕   管代：孙延涛 </w:t>
            </w:r>
          </w:p>
          <w:p>
            <w:pPr>
              <w:rPr>
                <w:rFonts w:hint="eastAsia"/>
              </w:rPr>
            </w:pPr>
            <w:r>
              <w:rPr>
                <w:rFonts w:hint="eastAsia"/>
              </w:rPr>
              <w:t>企业注册</w:t>
            </w:r>
            <w:bookmarkStart w:id="0" w:name="注册地址"/>
            <w:r>
              <w:rPr>
                <w:rFonts w:hint="eastAsia"/>
                <w:lang w:eastAsia="zh-CN"/>
              </w:rPr>
              <w:t>：</w:t>
            </w:r>
            <w:bookmarkEnd w:id="0"/>
            <w:r>
              <w:t>北京市密云区西田各庄镇卸甲山南区01号</w:t>
            </w:r>
          </w:p>
          <w:p>
            <w:pPr>
              <w:rPr>
                <w:rFonts w:hint="eastAsia"/>
              </w:rPr>
            </w:pPr>
            <w:r>
              <w:rPr>
                <w:rFonts w:hint="eastAsia"/>
              </w:rPr>
              <w:t>经营地址：</w:t>
            </w:r>
            <w:r>
              <w:t>北京市密云区西田各庄镇卸甲山南区01号</w:t>
            </w:r>
          </w:p>
          <w:p>
            <w:pPr>
              <w:rPr>
                <w:rFonts w:eastAsia="宋体"/>
                <w:szCs w:val="22"/>
              </w:rPr>
            </w:pPr>
            <w:r>
              <w:rPr>
                <w:rFonts w:hint="eastAsia"/>
              </w:rPr>
              <w:t>提供了营业执照（</w:t>
            </w:r>
            <w:r>
              <w:rPr>
                <w:rFonts w:hint="eastAsia" w:ascii="Times New Roman" w:hAnsi="Times New Roman" w:cs="Times New Roman"/>
              </w:rPr>
              <w:t xml:space="preserve">统一社会信用代码: </w:t>
            </w:r>
            <w:r>
              <w:rPr>
                <w:rFonts w:ascii="Times New Roman" w:hAnsi="Times New Roman" w:cs="Times New Roman"/>
              </w:rPr>
              <w:t>91110228752616342F</w:t>
            </w:r>
            <w:r>
              <w:rPr>
                <w:rFonts w:hint="eastAsia" w:ascii="Times New Roman" w:hAnsi="Times New Roman" w:cs="Times New Roman"/>
              </w:rPr>
              <w:t>），</w:t>
            </w:r>
            <w:r>
              <w:rPr>
                <w:rFonts w:hint="eastAsia" w:eastAsia="宋体"/>
                <w:szCs w:val="22"/>
              </w:rPr>
              <w:t>资质文件有效。</w:t>
            </w:r>
          </w:p>
          <w:p>
            <w:pPr>
              <w:rPr>
                <w:rFonts w:hint="eastAsia" w:ascii="Times New Roman" w:hAnsi="Times New Roman" w:cs="Times New Roman"/>
              </w:rPr>
            </w:pPr>
          </w:p>
          <w:p>
            <w:r>
              <w:rPr>
                <w:rFonts w:hint="eastAsia" w:ascii="Times New Roman" w:hAnsi="Times New Roman" w:cs="Times New Roman"/>
              </w:rPr>
              <w:t>北京德兰伟业机电设备有限公司,2003年07月21日成立，经营范围包括生产组装制冷空调、热泵机组、余热发电设备；普通货运；销售机械电子设备（不含游戏机及零部件）、制冷设备、净化设备、压缩机、家用电器、五金、交电、计算机、软件及辅助设备；技术服务、技术咨询（中介服务除外）；货物进出口；专业承包；家居装饰；维修空调制冷设备；合同能源管理；热力供应（燃煤、燃油除外）。（企业依法自主选择经营项目，开展经营活动；道路货物运输以及依法须经批准的项目，经相关部门批准后依批准的内容开展经营活动；不得从事本市产业政策禁止和限制类项目的经营活动。）</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rPr>
              <w:t>理解相关方的需求和期望</w:t>
            </w:r>
          </w:p>
        </w:tc>
        <w:tc>
          <w:tcPr>
            <w:tcW w:w="960" w:type="dxa"/>
            <w:vAlign w:val="center"/>
          </w:tcPr>
          <w:p>
            <w:r>
              <w:t>E</w:t>
            </w:r>
            <w:r>
              <w:rPr>
                <w:rFonts w:hint="eastAsia"/>
                <w:lang w:val="en-US" w:eastAsia="zh-CN"/>
              </w:rPr>
              <w:t>O</w:t>
            </w:r>
            <w:r>
              <w:t>4.2</w:t>
            </w:r>
          </w:p>
        </w:tc>
        <w:tc>
          <w:tcPr>
            <w:tcW w:w="10004" w:type="dxa"/>
            <w:vAlign w:val="center"/>
          </w:tcPr>
          <w:p>
            <w:pPr>
              <w:rPr>
                <w:rFonts w:hint="eastAsia"/>
              </w:rPr>
            </w:pPr>
            <w:r>
              <w:rPr>
                <w:rFonts w:hint="eastAsia"/>
              </w:rPr>
              <w:t>相关方主要包括：顾客、股东、员工、银行、供应商、雇员及其他为组织工作者、法律法规及监管机关、非政府组织等。相关方要求如：员工要求:工作稳定、受到尊重、有提升发展的机会等；供方要求:付款方式及周期/就环境管理进行及时沟通等；顾客要求：准时交货/保证品质/及时沟通/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r>
              <w:rPr>
                <w:rFonts w:hint="eastAsia"/>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确定管理体系的范围</w:t>
            </w:r>
          </w:p>
        </w:tc>
        <w:tc>
          <w:tcPr>
            <w:tcW w:w="960" w:type="dxa"/>
            <w:vAlign w:val="center"/>
          </w:tcPr>
          <w:p>
            <w:r>
              <w:t>E</w:t>
            </w:r>
            <w:r>
              <w:rPr>
                <w:rFonts w:hint="eastAsia"/>
                <w:lang w:val="en-US" w:eastAsia="zh-CN"/>
              </w:rPr>
              <w:t>O</w:t>
            </w:r>
            <w:r>
              <w:t>4.3</w:t>
            </w:r>
          </w:p>
        </w:tc>
        <w:tc>
          <w:tcPr>
            <w:tcW w:w="10004" w:type="dxa"/>
            <w:vAlign w:val="center"/>
          </w:tcPr>
          <w:p>
            <w:pPr>
              <w:rPr>
                <w:rFonts w:hint="eastAsia"/>
              </w:rPr>
            </w:pPr>
            <w:r>
              <w:rPr>
                <w:rFonts w:hint="eastAsia"/>
              </w:rPr>
              <w:t>微信传输文件：公司建立并实施的《管理手册》中第4.3确定了环境管理体系的范围，明确了边界和适用性，从范围的内容来看，公司考虑了理念、价值观、文化等相关因素及相关方的要求，还考虑了公司在国际、国家、地区或本地引起的法律、技术、竞争、文化、社会、经济和自然环境等方面的问题及应对方法，针对所提供的产品和服务，组织按照顾客要求，经与领导层的座谈沟通、查看相关的体系文件以及询问了解到，</w:t>
            </w:r>
          </w:p>
          <w:p>
            <w:pPr>
              <w:rPr>
                <w:rFonts w:hint="eastAsia"/>
              </w:rPr>
            </w:pPr>
          </w:p>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r>
              <w:rPr>
                <w:rFonts w:hint="eastAsia"/>
              </w:rPr>
              <w:t>管理体系</w:t>
            </w:r>
          </w:p>
        </w:tc>
        <w:tc>
          <w:tcPr>
            <w:tcW w:w="960" w:type="dxa"/>
            <w:vAlign w:val="center"/>
          </w:tcPr>
          <w:p>
            <w:r>
              <w:t>E</w:t>
            </w:r>
            <w:r>
              <w:rPr>
                <w:rFonts w:hint="eastAsia"/>
                <w:lang w:val="en-US" w:eastAsia="zh-CN"/>
              </w:rPr>
              <w:t>O</w:t>
            </w:r>
            <w:r>
              <w:t>4.4</w:t>
            </w:r>
          </w:p>
        </w:tc>
        <w:tc>
          <w:tcPr>
            <w:tcW w:w="10004" w:type="dxa"/>
            <w:vAlign w:val="center"/>
          </w:tcPr>
          <w:p>
            <w:r>
              <w:rPr>
                <w:rFonts w:hint="eastAsia"/>
              </w:rPr>
              <w:t>组织按照GB/T24001-2016</w:t>
            </w:r>
            <w:r>
              <w:rPr>
                <w:rFonts w:hint="eastAsia"/>
                <w:lang w:val="en-US" w:eastAsia="zh-CN"/>
              </w:rPr>
              <w:t>\</w:t>
            </w:r>
            <w:r>
              <w:rPr>
                <w:rFonts w:hint="eastAsia"/>
              </w:rPr>
              <w:t>GB/</w:t>
            </w:r>
            <w:r>
              <w:rPr>
                <w:rFonts w:hint="eastAsia"/>
                <w:lang w:val="en-US" w:eastAsia="zh-CN"/>
              </w:rPr>
              <w:t>T45001-2020</w:t>
            </w:r>
            <w:r>
              <w:rPr>
                <w:rFonts w:hint="eastAsia"/>
              </w:rPr>
              <w:t>标准的要求，建立、实施、保持和持续改进管理体系，包括所需过程及其相互作用。 公司确定了环境</w:t>
            </w:r>
            <w:r>
              <w:rPr>
                <w:rFonts w:hint="eastAsia"/>
                <w:lang w:eastAsia="zh-CN"/>
              </w:rPr>
              <w:t>、</w:t>
            </w:r>
            <w:r>
              <w:rPr>
                <w:rFonts w:hint="eastAsia"/>
                <w:lang w:val="en-US" w:eastAsia="zh-CN"/>
              </w:rPr>
              <w:t>职业健康安全</w:t>
            </w:r>
            <w:r>
              <w:rPr>
                <w:rFonts w:hint="eastAsia"/>
              </w:rPr>
              <w:t>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6.1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 PDCA 循环以及基于风险的思维对过程和体系进行整体控制和管理，从而有效利用机遇并防止发生非预期结果。</w:t>
            </w:r>
          </w:p>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领导作用和承诺</w:t>
            </w:r>
          </w:p>
        </w:tc>
        <w:tc>
          <w:tcPr>
            <w:tcW w:w="960" w:type="dxa"/>
            <w:vAlign w:val="center"/>
          </w:tcPr>
          <w:p>
            <w:r>
              <w:t>E</w:t>
            </w:r>
            <w:r>
              <w:rPr>
                <w:rFonts w:hint="eastAsia"/>
                <w:lang w:val="en-US" w:eastAsia="zh-CN"/>
              </w:rPr>
              <w:t>O</w:t>
            </w:r>
            <w:r>
              <w:t>5.1</w:t>
            </w:r>
          </w:p>
        </w:tc>
        <w:tc>
          <w:tcPr>
            <w:tcW w:w="10004" w:type="dxa"/>
            <w:vAlign w:val="center"/>
          </w:tcPr>
          <w:p>
            <w:r>
              <w:rPr>
                <w:rFonts w:hint="eastAsia"/>
              </w:rPr>
              <w:t xml:space="preserve">总经理通过如下方式（主要以会议、培训、交流、文件和记录等型式）对其建立、实施和改进环境管理体系的承诺提供证据。 </w:t>
            </w:r>
          </w:p>
          <w:p>
            <w:r>
              <w:rPr>
                <w:rFonts w:hint="eastAsia"/>
              </w:rPr>
              <w:t>1.负责环境体系的策划，负责公开的环境承诺，遵守环境保护的法律法规，制定环境方针，并签署批准、颁布环境方针；负责环境体系的管理评审工作；</w:t>
            </w:r>
          </w:p>
          <w:p>
            <w:r>
              <w:rPr>
                <w:rFonts w:hint="eastAsia"/>
              </w:rPr>
              <w:t>2.负责批准《管理手册》、“环境目标、指标和管理方案”和“培训计划”；</w:t>
            </w:r>
          </w:p>
          <w:p>
            <w:r>
              <w:rPr>
                <w:rFonts w:hint="eastAsia"/>
              </w:rPr>
              <w:t>3.确保提供建立、实施并保持环境管理体系所必要的资源；</w:t>
            </w:r>
          </w:p>
          <w:p>
            <w:r>
              <w:rPr>
                <w:rFonts w:hint="eastAsia"/>
              </w:rPr>
              <w:t>4.负责特殊合同的批准和签订，批准分/承包方的定点、扩点、撤点和恢复，批准《合格供应商名录》；</w:t>
            </w:r>
          </w:p>
          <w:p>
            <w:r>
              <w:rPr>
                <w:rFonts w:hint="eastAsia"/>
              </w:rPr>
              <w:t>5.对公司产品质量全面负责，对重大的批不合格品做出处置。</w:t>
            </w:r>
          </w:p>
          <w:p>
            <w:r>
              <w:rPr>
                <w:rFonts w:hint="eastAsia"/>
              </w:rPr>
              <w:t>管理者代表丁路路，确保管理体系符合环境标准的要求；</w:t>
            </w:r>
          </w:p>
          <w:p>
            <w:r>
              <w:rPr>
                <w:rFonts w:hint="eastAsia"/>
              </w:rPr>
              <w:t>确保管理体系相互作用并产生期望的结果；</w:t>
            </w:r>
          </w:p>
          <w:p>
            <w:r>
              <w:rPr>
                <w:rFonts w:hint="eastAsia"/>
              </w:rPr>
              <w:t>向最高管理者报告管理体系的绩效和任何改进的需求；</w:t>
            </w:r>
          </w:p>
          <w:p>
            <w:r>
              <w:rPr>
                <w:rFonts w:hint="eastAsia"/>
              </w:rPr>
              <w:t>确保在整个组织内提高满足顾客要求的意识等。</w:t>
            </w:r>
          </w:p>
          <w:p>
            <w:r>
              <w:rPr>
                <w:rFonts w:hint="eastAsia"/>
              </w:rPr>
              <w:t>望公司各级人员服从协调，履行职能，以确保管理有效运行和持续改进</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环境方针</w:t>
            </w:r>
          </w:p>
        </w:tc>
        <w:tc>
          <w:tcPr>
            <w:tcW w:w="960" w:type="dxa"/>
            <w:vAlign w:val="center"/>
          </w:tcPr>
          <w:p>
            <w:r>
              <w:t>E</w:t>
            </w:r>
            <w:r>
              <w:rPr>
                <w:rFonts w:hint="eastAsia"/>
                <w:lang w:val="en-US" w:eastAsia="zh-CN"/>
              </w:rPr>
              <w:t>O</w:t>
            </w:r>
            <w:r>
              <w:t>5.2</w:t>
            </w:r>
          </w:p>
        </w:tc>
        <w:tc>
          <w:tcPr>
            <w:tcW w:w="10004" w:type="dxa"/>
            <w:vAlign w:val="center"/>
          </w:tcPr>
          <w:p>
            <w:pPr>
              <w:rPr>
                <w:rFonts w:hint="eastAsia"/>
              </w:rPr>
            </w:pPr>
            <w:r>
              <w:rPr>
                <w:rFonts w:hint="eastAsia"/>
              </w:rPr>
              <w:t>在《环境管理手册》中形成了文件化的信息：</w:t>
            </w:r>
          </w:p>
          <w:p>
            <w:pPr>
              <w:rPr>
                <w:rFonts w:hint="eastAsia"/>
              </w:rPr>
            </w:pPr>
            <w:r>
              <w:rPr>
                <w:rFonts w:hint="eastAsia"/>
              </w:rPr>
              <w:t>环境</w:t>
            </w:r>
            <w:r>
              <w:rPr>
                <w:rFonts w:hint="eastAsia"/>
                <w:lang w:val="en-US" w:eastAsia="zh-CN"/>
              </w:rPr>
              <w:t>、职业健康安全</w:t>
            </w:r>
            <w:r>
              <w:rPr>
                <w:rFonts w:hint="eastAsia"/>
              </w:rPr>
              <w:t>方针：守法诚信追求质量，预防污染保护环境；</w:t>
            </w:r>
          </w:p>
          <w:p>
            <w:pPr>
              <w:rPr>
                <w:rFonts w:hint="eastAsia"/>
              </w:rPr>
            </w:pPr>
            <w:r>
              <w:rPr>
                <w:rFonts w:hint="eastAsia"/>
              </w:rPr>
              <w:t xml:space="preserve">                  </w:t>
            </w:r>
            <w:r>
              <w:rPr>
                <w:rFonts w:hint="eastAsia"/>
                <w:lang w:val="en-US" w:eastAsia="zh-CN"/>
              </w:rPr>
              <w:t xml:space="preserve">     </w:t>
            </w:r>
            <w:r>
              <w:rPr>
                <w:rFonts w:hint="eastAsia"/>
              </w:rPr>
              <w:t>关爱员工健康安全，持续改进追求卓越。</w:t>
            </w:r>
          </w:p>
          <w:p>
            <w:pPr>
              <w:ind w:firstLine="2730" w:firstLineChars="1300"/>
              <w:rPr>
                <w:rFonts w:hint="eastAsia"/>
              </w:rPr>
            </w:pPr>
          </w:p>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组织的岗位、职责和权限</w:t>
            </w:r>
          </w:p>
        </w:tc>
        <w:tc>
          <w:tcPr>
            <w:tcW w:w="960" w:type="dxa"/>
            <w:vAlign w:val="center"/>
          </w:tcPr>
          <w:p>
            <w:r>
              <w:t>E</w:t>
            </w:r>
            <w:r>
              <w:rPr>
                <w:rFonts w:hint="eastAsia"/>
                <w:lang w:val="en-US" w:eastAsia="zh-CN"/>
              </w:rPr>
              <w:t>O</w:t>
            </w:r>
            <w:r>
              <w:t>5.3</w:t>
            </w:r>
          </w:p>
          <w:p>
            <w:pPr>
              <w:pStyle w:val="3"/>
              <w:rPr>
                <w:rFonts w:hint="default" w:eastAsia="宋体"/>
                <w:lang w:val="en-US" w:eastAsia="zh-CN"/>
              </w:rPr>
            </w:pPr>
            <w:r>
              <w:rPr>
                <w:rFonts w:hint="eastAsia"/>
                <w:lang w:val="en-US" w:eastAsia="zh-CN"/>
              </w:rPr>
              <w:t>O 5.4</w:t>
            </w:r>
          </w:p>
        </w:tc>
        <w:tc>
          <w:tcPr>
            <w:tcW w:w="10004" w:type="dxa"/>
            <w:vAlign w:val="center"/>
          </w:tcPr>
          <w:p>
            <w:r>
              <w:rPr>
                <w:rFonts w:hint="eastAsia"/>
              </w:rPr>
              <w:t xml:space="preserve">公司目前分设职能部门为：综合部  </w:t>
            </w:r>
            <w:r>
              <w:rPr>
                <w:rFonts w:hint="eastAsia"/>
                <w:lang w:val="en-US" w:eastAsia="zh-CN"/>
              </w:rPr>
              <w:t>销售部</w:t>
            </w:r>
            <w:r>
              <w:rPr>
                <w:rFonts w:hint="eastAsia"/>
              </w:rPr>
              <w:t>。制定了各部门、各岗位人员职责、权限，并形成了文件。</w:t>
            </w:r>
          </w:p>
          <w:p>
            <w:r>
              <w:rPr>
                <w:rFonts w:hint="eastAsia"/>
              </w:rPr>
              <w:t>微信查阅：《管理手册》，在手册中编制了组织架构图，界定了部门之间的隶属关系，提供了职能分配表，反映了各部门承担的主要职能。</w:t>
            </w:r>
          </w:p>
          <w:p>
            <w:pPr>
              <w:rPr>
                <w:rFonts w:hint="eastAsia"/>
              </w:rPr>
            </w:pPr>
            <w:r>
              <w:rPr>
                <w:rFonts w:hint="eastAsia"/>
              </w:rPr>
              <w:t>公司通过文件、会议、培训等方式将职责、权限传达到企业内部，充分适宜。各部门负责人的职责和权限，分工比较明确，各部门负责清楚自己的工作职责和权限。基本符合标准要求。</w:t>
            </w:r>
          </w:p>
          <w:p>
            <w:pPr>
              <w:pStyle w:val="3"/>
              <w:rPr>
                <w:rFonts w:hint="eastAsia" w:eastAsia="宋体"/>
                <w:lang w:val="en-US" w:eastAsia="zh-CN"/>
              </w:rPr>
            </w:pP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应对风险和机遇的措施</w:t>
            </w:r>
          </w:p>
        </w:tc>
        <w:tc>
          <w:tcPr>
            <w:tcW w:w="960" w:type="dxa"/>
            <w:vAlign w:val="center"/>
          </w:tcPr>
          <w:p>
            <w:r>
              <w:t>E</w:t>
            </w:r>
            <w:r>
              <w:rPr>
                <w:rFonts w:hint="eastAsia"/>
                <w:lang w:val="en-US" w:eastAsia="zh-CN"/>
              </w:rPr>
              <w:t>O</w:t>
            </w:r>
            <w:r>
              <w:t>6.1 E</w:t>
            </w:r>
            <w:r>
              <w:rPr>
                <w:rFonts w:hint="eastAsia"/>
                <w:lang w:val="en-US" w:eastAsia="zh-CN"/>
              </w:rPr>
              <w:t>O</w:t>
            </w:r>
            <w:r>
              <w:t>6.1.1</w:t>
            </w:r>
          </w:p>
        </w:tc>
        <w:tc>
          <w:tcPr>
            <w:tcW w:w="10004" w:type="dxa"/>
            <w:vAlign w:val="center"/>
          </w:tcPr>
          <w:p>
            <w:pPr>
              <w:rPr>
                <w:rFonts w:hint="eastAsia"/>
              </w:rPr>
            </w:pPr>
            <w:r>
              <w:rPr>
                <w:rFonts w:hint="eastAsia"/>
              </w:rPr>
              <w:t>组织在策划管理体系时，综合考虑了组织的内外部问题，相关方的需求和期望及合规义务，环境</w:t>
            </w:r>
            <w:r>
              <w:rPr>
                <w:rFonts w:hint="eastAsia"/>
                <w:lang w:val="en-US" w:eastAsia="zh-CN"/>
              </w:rPr>
              <w:t>、职业健康安全</w:t>
            </w:r>
            <w:r>
              <w:rPr>
                <w:rFonts w:hint="eastAsia"/>
              </w:rPr>
              <w:t>管理体系的范围等。</w:t>
            </w:r>
          </w:p>
          <w:p>
            <w:r>
              <w:rPr>
                <w:rFonts w:hint="eastAsia"/>
              </w:rPr>
              <w:t>提供了“2020</w:t>
            </w:r>
            <w:r>
              <w:rPr>
                <w:rFonts w:hint="eastAsia"/>
                <w:lang w:val="en-US" w:eastAsia="zh-CN"/>
              </w:rPr>
              <w:t>-2021</w:t>
            </w:r>
            <w:r>
              <w:rPr>
                <w:rFonts w:hint="eastAsia"/>
              </w:rPr>
              <w:t>年度 SWOT经营环境分析及对策报告”：</w:t>
            </w:r>
          </w:p>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措施的策划</w:t>
            </w:r>
          </w:p>
        </w:tc>
        <w:tc>
          <w:tcPr>
            <w:tcW w:w="960" w:type="dxa"/>
            <w:vAlign w:val="center"/>
          </w:tcPr>
          <w:p>
            <w:r>
              <w:t>E</w:t>
            </w:r>
            <w:r>
              <w:rPr>
                <w:rFonts w:hint="eastAsia"/>
                <w:lang w:val="en-US" w:eastAsia="zh-CN"/>
              </w:rPr>
              <w:t>O</w:t>
            </w:r>
            <w:r>
              <w:t>6.1.4</w:t>
            </w:r>
          </w:p>
        </w:tc>
        <w:tc>
          <w:tcPr>
            <w:tcW w:w="10004" w:type="dxa"/>
            <w:vAlign w:val="center"/>
          </w:tcPr>
          <w:p>
            <w:r>
              <w:rPr>
                <w:rFonts w:hint="eastAsia"/>
              </w:rPr>
              <w:t>组织对环境</w:t>
            </w:r>
            <w:r>
              <w:rPr>
                <w:rFonts w:hint="eastAsia"/>
                <w:lang w:val="en-US" w:eastAsia="zh-CN"/>
              </w:rPr>
              <w:t>、职业健康安全</w:t>
            </w:r>
            <w:r>
              <w:rPr>
                <w:rFonts w:hint="eastAsia"/>
              </w:rPr>
              <w:t>运行过程进行了识别和策划,运行控制包括固体废弃物排放、资源能源消耗、火灾、生活污水等方面，制定了节约用水、用电、纸张管理规定、GB8978-1996污水综合排放标准GB16297-1996大气污染物综合排放标准GB18599-2001一般工业固体废物贮存、处置场污染控制标准GB1495-79机动车辆允许噪音标准等文件，规定了具体的控制准则、控制方法及监视、测量和持续改进等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r>
              <w:rPr>
                <w:rFonts w:hint="eastAsia"/>
              </w:rPr>
              <w:t>环境目标及实现措施策划</w:t>
            </w:r>
          </w:p>
        </w:tc>
        <w:tc>
          <w:tcPr>
            <w:tcW w:w="960" w:type="dxa"/>
            <w:vAlign w:val="center"/>
          </w:tcPr>
          <w:p>
            <w:r>
              <w:rPr>
                <w:rFonts w:hint="eastAsia"/>
              </w:rPr>
              <w:t>E</w:t>
            </w:r>
            <w:r>
              <w:rPr>
                <w:rFonts w:hint="eastAsia"/>
                <w:lang w:val="en-US" w:eastAsia="zh-CN"/>
              </w:rPr>
              <w:t>O</w:t>
            </w:r>
            <w:r>
              <w:rPr>
                <w:rFonts w:hint="eastAsia"/>
              </w:rPr>
              <w:t>6.2.1E</w:t>
            </w:r>
            <w:r>
              <w:rPr>
                <w:rFonts w:hint="eastAsia"/>
                <w:lang w:val="en-US" w:eastAsia="zh-CN"/>
              </w:rPr>
              <w:t>O</w:t>
            </w:r>
            <w:r>
              <w:rPr>
                <w:rFonts w:hint="eastAsia"/>
              </w:rPr>
              <w:t>6.2.2</w:t>
            </w:r>
          </w:p>
        </w:tc>
        <w:tc>
          <w:tcPr>
            <w:tcW w:w="10004" w:type="dxa"/>
            <w:vAlign w:val="center"/>
          </w:tcPr>
          <w:p>
            <w:pPr>
              <w:rPr>
                <w:rFonts w:hint="eastAsia"/>
              </w:rPr>
            </w:pPr>
            <w:r>
              <w:rPr>
                <w:rFonts w:hint="eastAsia"/>
              </w:rPr>
              <w:t>目标：</w:t>
            </w:r>
          </w:p>
          <w:p>
            <w:pPr>
              <w:rPr>
                <w:rFonts w:hint="eastAsia"/>
              </w:rPr>
            </w:pPr>
            <w:r>
              <w:rPr>
                <w:rFonts w:hint="eastAsia"/>
                <w:lang w:val="en-US" w:eastAsia="zh-CN"/>
              </w:rPr>
              <w:t>1</w:t>
            </w:r>
            <w:r>
              <w:rPr>
                <w:rFonts w:hint="eastAsia"/>
              </w:rPr>
              <w:t>)固体废弃物100%分类，合理处理；</w:t>
            </w:r>
          </w:p>
          <w:p>
            <w:pPr>
              <w:rPr>
                <w:rFonts w:hint="eastAsia"/>
              </w:rPr>
            </w:pPr>
            <w:r>
              <w:rPr>
                <w:rFonts w:hint="eastAsia"/>
                <w:lang w:val="en-US" w:eastAsia="zh-CN"/>
              </w:rPr>
              <w:t>2</w:t>
            </w:r>
            <w:r>
              <w:rPr>
                <w:rFonts w:hint="eastAsia"/>
              </w:rPr>
              <w:t>）环境污染事故发生率为零</w:t>
            </w:r>
          </w:p>
          <w:p>
            <w:pPr>
              <w:rPr>
                <w:rFonts w:hint="eastAsia"/>
              </w:rPr>
            </w:pPr>
            <w:r>
              <w:rPr>
                <w:rFonts w:hint="eastAsia"/>
                <w:lang w:val="en-US" w:eastAsia="zh-CN"/>
              </w:rPr>
              <w:t>3</w:t>
            </w:r>
            <w:r>
              <w:rPr>
                <w:rFonts w:hint="eastAsia"/>
              </w:rPr>
              <w:t xml:space="preserve">）各类重伤以上事故发生率为零； </w:t>
            </w:r>
          </w:p>
          <w:p>
            <w:pPr>
              <w:rPr>
                <w:rFonts w:hint="eastAsia"/>
              </w:rPr>
            </w:pPr>
            <w:r>
              <w:rPr>
                <w:rFonts w:hint="eastAsia"/>
                <w:lang w:val="en-US" w:eastAsia="zh-CN"/>
              </w:rPr>
              <w:t>4</w:t>
            </w:r>
            <w:r>
              <w:rPr>
                <w:rFonts w:hint="eastAsia"/>
              </w:rPr>
              <w:t>）火灾事故发生率为零。</w:t>
            </w:r>
          </w:p>
          <w:p>
            <w:pPr>
              <w:rPr>
                <w:rFonts w:hint="default" w:eastAsia="宋体"/>
                <w:lang w:val="en-US" w:eastAsia="zh-CN"/>
              </w:rPr>
            </w:pPr>
            <w:r>
              <w:rPr>
                <w:rFonts w:hint="eastAsia"/>
                <w:lang w:val="en-US" w:eastAsia="zh-CN"/>
              </w:rPr>
              <w:t>根据公司情况制定了相应的管理方案</w:t>
            </w:r>
          </w:p>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vAlign w:val="center"/>
          </w:tcPr>
          <w:p>
            <w:r>
              <w:rPr>
                <w:rFonts w:hint="eastAsia"/>
              </w:rPr>
              <w:t>资源</w:t>
            </w:r>
          </w:p>
        </w:tc>
        <w:tc>
          <w:tcPr>
            <w:tcW w:w="960" w:type="dxa"/>
            <w:vAlign w:val="center"/>
          </w:tcPr>
          <w:p>
            <w:r>
              <w:t>E</w:t>
            </w:r>
            <w:r>
              <w:rPr>
                <w:rFonts w:hint="eastAsia"/>
                <w:lang w:val="en-US" w:eastAsia="zh-CN"/>
              </w:rPr>
              <w:t>O</w:t>
            </w:r>
            <w:r>
              <w:t>7.1</w:t>
            </w:r>
          </w:p>
        </w:tc>
        <w:tc>
          <w:tcPr>
            <w:tcW w:w="10004" w:type="dxa"/>
            <w:vAlign w:val="center"/>
          </w:tcPr>
          <w:p>
            <w:r>
              <w:rPr>
                <w:rFonts w:hint="eastAsia"/>
              </w:rPr>
              <w:t>公司确定、提供为建立、实施、保持和改进环境管理体系所需的资源。查公司现有资源，包括人力资源、基础设施（含办公场所、办公设备/设施、交通和通讯设施、消防安全设施等）、信息、技术、资金等。</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监视、测量、分析和评价/总则</w:t>
            </w:r>
          </w:p>
        </w:tc>
        <w:tc>
          <w:tcPr>
            <w:tcW w:w="960" w:type="dxa"/>
            <w:vAlign w:val="center"/>
          </w:tcPr>
          <w:p>
            <w:r>
              <w:t>E</w:t>
            </w:r>
            <w:r>
              <w:rPr>
                <w:rFonts w:hint="eastAsia"/>
                <w:lang w:val="en-US" w:eastAsia="zh-CN"/>
              </w:rPr>
              <w:t>O</w:t>
            </w:r>
            <w:r>
              <w:t>9.1</w:t>
            </w:r>
            <w:r>
              <w:rPr>
                <w:rFonts w:hint="eastAsia"/>
              </w:rPr>
              <w:t>.1</w:t>
            </w:r>
          </w:p>
        </w:tc>
        <w:tc>
          <w:tcPr>
            <w:tcW w:w="10004" w:type="dxa"/>
            <w:vAlign w:val="center"/>
          </w:tcPr>
          <w:p>
            <w:r>
              <w:rPr>
                <w:rFonts w:hint="eastAsia"/>
              </w:rPr>
              <w:t>1、企业有策划管理体系绩效监视和测量准则，并实施；主要包括：内审、管理评审，管理目标考核以及环境管理方案完成情况检查，销售和服务提供过程监视和测量，环境绩效监视和测量，合格性评价，外部相关方监测和检查（如顾客满意调查等）；</w:t>
            </w:r>
          </w:p>
          <w:p>
            <w:r>
              <w:rPr>
                <w:rFonts w:hint="eastAsia"/>
              </w:rPr>
              <w:t>2、企业提供管理手册中对监视、测量、分析和评价要求进行了描述，监视和测量过程中发现的问题及时进行分析、评价，包括施工过程质量监视和测量，以及环境绩效监视和测量等，详见销售部、行政部等部门的审核记录.</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r>
              <w:rPr>
                <w:rFonts w:hint="eastAsia"/>
              </w:rPr>
              <w:t>管理评审</w:t>
            </w:r>
          </w:p>
        </w:tc>
        <w:tc>
          <w:tcPr>
            <w:tcW w:w="960" w:type="dxa"/>
            <w:vAlign w:val="center"/>
          </w:tcPr>
          <w:p>
            <w:r>
              <w:t>E</w:t>
            </w:r>
            <w:r>
              <w:rPr>
                <w:rFonts w:hint="eastAsia"/>
                <w:lang w:val="en-US" w:eastAsia="zh-CN"/>
              </w:rPr>
              <w:t>O</w:t>
            </w:r>
            <w:r>
              <w:t>9.3</w:t>
            </w:r>
          </w:p>
        </w:tc>
        <w:tc>
          <w:tcPr>
            <w:tcW w:w="10004" w:type="dxa"/>
            <w:vAlign w:val="center"/>
          </w:tcPr>
          <w:p>
            <w:r>
              <w:rPr>
                <w:rFonts w:hint="eastAsia"/>
              </w:rPr>
              <w:t>1.编制有《管理评审控制程序》，对管理评审的时间、方法均有明确的要求，文件符合标准要求。每年进行1次，时间间隔不超过12个月。</w:t>
            </w:r>
          </w:p>
          <w:p>
            <w:r>
              <w:rPr>
                <w:rFonts w:hint="eastAsia"/>
              </w:rPr>
              <w:t>2.组织于202</w:t>
            </w:r>
            <w:r>
              <w:rPr>
                <w:rFonts w:hint="eastAsia"/>
                <w:lang w:val="en-US" w:eastAsia="zh-CN"/>
              </w:rPr>
              <w:t>1</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日由最高管理者主持，以会议的形式召开，各部门负责人参加。</w:t>
            </w:r>
          </w:p>
          <w:p>
            <w:pPr>
              <w:rPr>
                <w:rFonts w:hint="default" w:eastAsia="宋体"/>
                <w:lang w:val="en-US" w:eastAsia="zh-CN"/>
              </w:rPr>
            </w:pPr>
            <w:r>
              <w:rPr>
                <w:rFonts w:hint="eastAsia"/>
                <w:lang w:val="en-US" w:eastAsia="zh-CN"/>
              </w:rPr>
              <w:t>提供有管评评审计划、报告等</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是否具备二阶段审核结论</w:t>
            </w:r>
          </w:p>
          <w:p>
            <w:pPr>
              <w:tabs>
                <w:tab w:val="left" w:pos="7380"/>
              </w:tabs>
              <w:rPr>
                <w:rFonts w:hint="eastAsia" w:ascii="宋体" w:hAnsi="宋体" w:eastAsia="宋体" w:cs="Tahoma"/>
                <w:szCs w:val="21"/>
                <w:lang w:val="en-US" w:eastAsia="zh-CN"/>
              </w:rPr>
            </w:pPr>
          </w:p>
          <w:p>
            <w:pPr>
              <w:spacing w:line="280" w:lineRule="exac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Tahoma"/>
                <w:szCs w:val="21"/>
                <w:lang w:val="en-US" w:eastAsia="zh-CN"/>
              </w:rPr>
              <w:t>第二阶段重要审核点等相关内容</w:t>
            </w:r>
          </w:p>
        </w:tc>
        <w:tc>
          <w:tcPr>
            <w:tcW w:w="960" w:type="dxa"/>
            <w:vAlign w:val="top"/>
          </w:tcPr>
          <w:p>
            <w:pPr>
              <w:spacing w:line="280" w:lineRule="exact"/>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通过一阶段对受审核方的巡视和观察，对管理体系绩效要求有重大影响的过程、活动、场所和现场运行进行观察、巡视及总体性评价，组织具备二阶段审核条件，可进行二阶段审核。</w:t>
            </w:r>
          </w:p>
          <w:p>
            <w:pPr>
              <w:tabs>
                <w:tab w:val="left" w:pos="7380"/>
              </w:tabs>
              <w:rPr>
                <w:rFonts w:hint="eastAsia" w:ascii="宋体" w:hAnsi="宋体" w:eastAsia="宋体" w:cs="Tahoma"/>
                <w:szCs w:val="21"/>
                <w:lang w:val="en-US" w:eastAsia="zh-CN"/>
              </w:rPr>
            </w:pP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二阶段重点审核：</w:t>
            </w:r>
          </w:p>
          <w:p>
            <w:pPr>
              <w:pStyle w:val="9"/>
              <w:rPr>
                <w:rFonts w:hint="default"/>
                <w:lang w:val="en-US" w:eastAsia="zh-CN"/>
              </w:rPr>
            </w:pPr>
            <w:r>
              <w:rPr>
                <w:rFonts w:hint="eastAsia" w:ascii="宋体" w:hAnsi="宋体" w:cs="Tahoma"/>
                <w:szCs w:val="21"/>
                <w:lang w:val="en-US" w:eastAsia="zh-CN"/>
              </w:rPr>
              <w:t>E</w:t>
            </w:r>
            <w:r>
              <w:rPr>
                <w:rFonts w:hint="eastAsia" w:ascii="宋体" w:hAnsi="宋体" w:eastAsia="宋体" w:cs="Tahoma"/>
                <w:szCs w:val="21"/>
                <w:lang w:val="en-US" w:eastAsia="zh-CN"/>
              </w:rPr>
              <w:t>O:</w:t>
            </w:r>
            <w:r>
              <w:rPr>
                <w:rFonts w:hint="eastAsia" w:ascii="宋体" w:hAnsi="宋体" w:cs="Tahoma"/>
                <w:szCs w:val="21"/>
                <w:lang w:val="en-US" w:eastAsia="zh-CN"/>
              </w:rPr>
              <w:t>环境因素、</w:t>
            </w:r>
            <w:r>
              <w:rPr>
                <w:rFonts w:hint="eastAsia" w:ascii="宋体" w:hAnsi="宋体" w:eastAsia="宋体" w:cs="Tahoma"/>
                <w:szCs w:val="21"/>
                <w:lang w:val="en-US" w:eastAsia="zh-CN"/>
              </w:rPr>
              <w:t>危险源辨识、不可接受风险管理方案、相关方的信息沟通、应急准备和响应控制措施等</w:t>
            </w:r>
          </w:p>
          <w:p>
            <w:pPr>
              <w:tabs>
                <w:tab w:val="left" w:pos="7380"/>
              </w:tabs>
              <w:rPr>
                <w:rFonts w:hint="default" w:ascii="宋体" w:hAnsi="宋体" w:cs="Tahoma"/>
                <w:szCs w:val="21"/>
                <w:lang w:val="en-US" w:eastAsia="zh-CN"/>
              </w:rPr>
            </w:pPr>
            <w:r>
              <w:rPr>
                <w:rFonts w:hint="eastAsia" w:ascii="宋体" w:hAnsi="宋体" w:eastAsia="宋体" w:cs="Tahoma"/>
                <w:szCs w:val="21"/>
                <w:lang w:val="en-US" w:eastAsia="zh-CN"/>
              </w:rPr>
              <w:t>重点审核部门：</w:t>
            </w:r>
            <w:r>
              <w:rPr>
                <w:rFonts w:hint="eastAsia" w:ascii="宋体" w:hAnsi="宋体" w:cs="Tahoma"/>
                <w:szCs w:val="21"/>
                <w:lang w:val="en-US" w:eastAsia="zh-CN"/>
              </w:rPr>
              <w:t>综合部</w:t>
            </w:r>
            <w:r>
              <w:rPr>
                <w:rFonts w:hint="eastAsia" w:ascii="宋体" w:hAnsi="宋体" w:eastAsia="宋体" w:cs="Tahoma"/>
                <w:szCs w:val="21"/>
                <w:lang w:val="en-US" w:eastAsia="zh-CN"/>
              </w:rPr>
              <w:t>、</w:t>
            </w:r>
            <w:r>
              <w:rPr>
                <w:rFonts w:hint="eastAsia" w:ascii="宋体" w:hAnsi="宋体" w:cs="Tahoma"/>
                <w:szCs w:val="21"/>
                <w:lang w:val="en-US" w:eastAsia="zh-CN"/>
              </w:rPr>
              <w:t>销售部</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重点审核过程：风险识别评价、运行过程、监视和测量、不符合控制、合规性评价等。</w:t>
            </w: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重点审核场所：</w:t>
            </w:r>
            <w:r>
              <w:rPr>
                <w:rFonts w:hint="eastAsia" w:ascii="宋体" w:hAnsi="宋体" w:cs="Tahoma"/>
                <w:szCs w:val="21"/>
                <w:lang w:val="en-US" w:eastAsia="zh-CN"/>
              </w:rPr>
              <w:t>维保</w:t>
            </w:r>
            <w:r>
              <w:rPr>
                <w:rFonts w:hint="eastAsia" w:ascii="宋体" w:hAnsi="宋体" w:eastAsia="宋体" w:cs="Tahoma"/>
                <w:szCs w:val="21"/>
                <w:lang w:val="en-US" w:eastAsia="zh-CN"/>
              </w:rPr>
              <w:t>场所、办公场所</w:t>
            </w:r>
          </w:p>
          <w:p>
            <w:pPr>
              <w:ind w:firstLine="420" w:firstLineChars="200"/>
              <w:rPr>
                <w:rFonts w:hint="eastAsia" w:ascii="Times New Roman" w:hAnsi="Times New Roman" w:cs="Times New Roman" w:eastAsiaTheme="minorEastAsia"/>
                <w:kern w:val="2"/>
                <w:sz w:val="21"/>
                <w:lang w:val="en-US" w:eastAsia="zh-CN" w:bidi="ar-SA"/>
              </w:rPr>
            </w:pPr>
            <w:r>
              <w:rPr>
                <w:rFonts w:hint="eastAsia" w:ascii="宋体" w:hAnsi="宋体" w:eastAsia="宋体" w:cs="Tahoma"/>
                <w:szCs w:val="21"/>
                <w:lang w:val="en-US" w:eastAsia="zh-CN"/>
              </w:rPr>
              <w:t>审核时间：2020年</w:t>
            </w:r>
            <w:r>
              <w:rPr>
                <w:rFonts w:hint="eastAsia" w:ascii="宋体" w:hAnsi="宋体" w:cs="Tahoma"/>
                <w:szCs w:val="21"/>
                <w:lang w:val="en-US" w:eastAsia="zh-CN"/>
              </w:rPr>
              <w:t>5</w:t>
            </w:r>
            <w:r>
              <w:rPr>
                <w:rFonts w:hint="eastAsia" w:ascii="宋体" w:hAnsi="宋体" w:eastAsia="宋体" w:cs="Tahoma"/>
                <w:szCs w:val="21"/>
                <w:lang w:val="en-US" w:eastAsia="zh-CN"/>
              </w:rPr>
              <w:t>月</w:t>
            </w:r>
            <w:r>
              <w:rPr>
                <w:rFonts w:hint="eastAsia"/>
                <w:color w:val="000000"/>
                <w:szCs w:val="21"/>
                <w:lang w:val="en-US" w:eastAsia="zh-CN"/>
              </w:rPr>
              <w:t>25</w:t>
            </w:r>
            <w:r>
              <w:rPr>
                <w:rFonts w:hint="eastAsia"/>
                <w:color w:val="000000"/>
                <w:szCs w:val="21"/>
              </w:rPr>
              <w:t xml:space="preserve">日 </w:t>
            </w:r>
            <w:r>
              <w:rPr>
                <w:rFonts w:hint="eastAsia"/>
                <w:color w:val="000000"/>
                <w:szCs w:val="21"/>
                <w:lang w:val="en-US" w:eastAsia="zh-CN"/>
              </w:rPr>
              <w:t>上</w:t>
            </w:r>
            <w:r>
              <w:rPr>
                <w:rFonts w:hint="eastAsia"/>
                <w:color w:val="000000"/>
                <w:szCs w:val="21"/>
              </w:rPr>
              <w:t>午</w:t>
            </w:r>
            <w:r>
              <w:rPr>
                <w:rFonts w:hint="eastAsia" w:ascii="宋体" w:hAnsi="宋体" w:cs="Tahoma"/>
                <w:szCs w:val="21"/>
                <w:lang w:val="en-US" w:eastAsia="zh-CN"/>
              </w:rPr>
              <w:t>--</w:t>
            </w:r>
            <w:r>
              <w:rPr>
                <w:rFonts w:hint="eastAsia" w:ascii="宋体" w:hAnsi="宋体" w:eastAsia="宋体" w:cs="Tahoma"/>
                <w:szCs w:val="21"/>
                <w:lang w:val="en-US" w:eastAsia="zh-CN"/>
              </w:rPr>
              <w:t xml:space="preserve"> </w:t>
            </w:r>
            <w:r>
              <w:rPr>
                <w:color w:val="000000"/>
                <w:szCs w:val="21"/>
              </w:rPr>
              <w:t xml:space="preserve"> </w:t>
            </w:r>
            <w:bookmarkStart w:id="1" w:name="审核结束日"/>
            <w:r>
              <w:rPr>
                <w:rFonts w:hint="eastAsia"/>
                <w:color w:val="000000"/>
                <w:szCs w:val="21"/>
              </w:rPr>
              <w:t>20</w:t>
            </w:r>
            <w:r>
              <w:rPr>
                <w:rFonts w:hint="eastAsia"/>
                <w:color w:val="000000"/>
                <w:szCs w:val="21"/>
                <w:lang w:val="en-US" w:eastAsia="zh-CN"/>
              </w:rPr>
              <w:t>21</w:t>
            </w:r>
            <w:r>
              <w:rPr>
                <w:rFonts w:hint="eastAsia"/>
                <w:color w:val="000000"/>
                <w:szCs w:val="21"/>
              </w:rPr>
              <w:t>年</w:t>
            </w:r>
            <w:r>
              <w:rPr>
                <w:rFonts w:hint="eastAsia"/>
                <w:color w:val="000000"/>
                <w:szCs w:val="21"/>
                <w:lang w:val="en-US" w:eastAsia="zh-CN"/>
              </w:rPr>
              <w:t>5</w:t>
            </w:r>
            <w:r>
              <w:rPr>
                <w:rFonts w:hint="eastAsia"/>
                <w:color w:val="000000"/>
                <w:szCs w:val="21"/>
              </w:rPr>
              <w:t>月</w:t>
            </w:r>
            <w:r>
              <w:rPr>
                <w:rFonts w:hint="eastAsia"/>
                <w:color w:val="000000"/>
                <w:szCs w:val="21"/>
                <w:lang w:val="en-US" w:eastAsia="zh-CN"/>
              </w:rPr>
              <w:t>25</w:t>
            </w:r>
            <w:r>
              <w:rPr>
                <w:rFonts w:hint="eastAsia"/>
                <w:color w:val="000000"/>
                <w:szCs w:val="21"/>
              </w:rPr>
              <w:t xml:space="preserve">日 </w:t>
            </w:r>
            <w:r>
              <w:rPr>
                <w:rFonts w:hint="eastAsia"/>
                <w:color w:val="000000"/>
                <w:szCs w:val="21"/>
                <w:lang w:val="en-US" w:eastAsia="zh-CN"/>
              </w:rPr>
              <w:t>下</w:t>
            </w:r>
            <w:bookmarkStart w:id="2" w:name="_GoBack"/>
            <w:bookmarkEnd w:id="2"/>
            <w:r>
              <w:rPr>
                <w:rFonts w:hint="eastAsia"/>
                <w:color w:val="000000"/>
                <w:szCs w:val="21"/>
              </w:rPr>
              <w:t>午</w:t>
            </w:r>
            <w:bookmarkEnd w:id="1"/>
          </w:p>
        </w:tc>
        <w:tc>
          <w:tcPr>
            <w:tcW w:w="1585" w:type="dxa"/>
          </w:tcPr>
          <w:p/>
        </w:tc>
      </w:tr>
    </w:tbl>
    <w:p>
      <w:r>
        <w:ptab w:relativeTo="margin" w:alignment="center" w:leader="none"/>
      </w:r>
    </w:p>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99B"/>
    <w:rsid w:val="000237F6"/>
    <w:rsid w:val="0003373A"/>
    <w:rsid w:val="000400E2"/>
    <w:rsid w:val="00062E46"/>
    <w:rsid w:val="000840F6"/>
    <w:rsid w:val="00087A33"/>
    <w:rsid w:val="000B020C"/>
    <w:rsid w:val="000C3FF7"/>
    <w:rsid w:val="00116913"/>
    <w:rsid w:val="001707F6"/>
    <w:rsid w:val="00195095"/>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71E5F"/>
    <w:rsid w:val="007757F3"/>
    <w:rsid w:val="007A7680"/>
    <w:rsid w:val="007E6AEB"/>
    <w:rsid w:val="008534ED"/>
    <w:rsid w:val="008973EE"/>
    <w:rsid w:val="00926D1D"/>
    <w:rsid w:val="00971600"/>
    <w:rsid w:val="009973B4"/>
    <w:rsid w:val="009C28C1"/>
    <w:rsid w:val="009E4939"/>
    <w:rsid w:val="009F7EED"/>
    <w:rsid w:val="00A079CB"/>
    <w:rsid w:val="00A07A6A"/>
    <w:rsid w:val="00A15ED5"/>
    <w:rsid w:val="00A56EAF"/>
    <w:rsid w:val="00A80636"/>
    <w:rsid w:val="00AE0EBA"/>
    <w:rsid w:val="00AF0AAB"/>
    <w:rsid w:val="00B21AC1"/>
    <w:rsid w:val="00B46B2A"/>
    <w:rsid w:val="00B75BC6"/>
    <w:rsid w:val="00B83D4D"/>
    <w:rsid w:val="00BB1411"/>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9760BC6"/>
    <w:rsid w:val="09981E28"/>
    <w:rsid w:val="09F551AB"/>
    <w:rsid w:val="0A8A6BA7"/>
    <w:rsid w:val="0B23277A"/>
    <w:rsid w:val="0D4B69C7"/>
    <w:rsid w:val="0EEF4590"/>
    <w:rsid w:val="0F3468D0"/>
    <w:rsid w:val="0F997E93"/>
    <w:rsid w:val="104D1619"/>
    <w:rsid w:val="108219C2"/>
    <w:rsid w:val="10DE7C48"/>
    <w:rsid w:val="11D6584F"/>
    <w:rsid w:val="120D3A2D"/>
    <w:rsid w:val="133E7CE9"/>
    <w:rsid w:val="15371138"/>
    <w:rsid w:val="165737A4"/>
    <w:rsid w:val="178A5CE8"/>
    <w:rsid w:val="181E4E80"/>
    <w:rsid w:val="19886B22"/>
    <w:rsid w:val="1A091769"/>
    <w:rsid w:val="1ABA03CF"/>
    <w:rsid w:val="1B1D2677"/>
    <w:rsid w:val="1B5D1D69"/>
    <w:rsid w:val="1D390463"/>
    <w:rsid w:val="1D3C6D23"/>
    <w:rsid w:val="1D8E5A11"/>
    <w:rsid w:val="1DA36BB1"/>
    <w:rsid w:val="1E290899"/>
    <w:rsid w:val="22073838"/>
    <w:rsid w:val="225474FE"/>
    <w:rsid w:val="231F2396"/>
    <w:rsid w:val="23237352"/>
    <w:rsid w:val="232665D9"/>
    <w:rsid w:val="248A4DCD"/>
    <w:rsid w:val="25F60562"/>
    <w:rsid w:val="26E62F85"/>
    <w:rsid w:val="29755C6A"/>
    <w:rsid w:val="2B356A43"/>
    <w:rsid w:val="2BB1558C"/>
    <w:rsid w:val="2CD94080"/>
    <w:rsid w:val="2D9475F8"/>
    <w:rsid w:val="2F0E5F1B"/>
    <w:rsid w:val="2FAD3FD0"/>
    <w:rsid w:val="3126251D"/>
    <w:rsid w:val="31AD1AE8"/>
    <w:rsid w:val="31D252EC"/>
    <w:rsid w:val="31F7156A"/>
    <w:rsid w:val="32AB0118"/>
    <w:rsid w:val="339F5F59"/>
    <w:rsid w:val="3427326B"/>
    <w:rsid w:val="351D0083"/>
    <w:rsid w:val="369F4E21"/>
    <w:rsid w:val="38A222EE"/>
    <w:rsid w:val="3A312611"/>
    <w:rsid w:val="3DF3476E"/>
    <w:rsid w:val="3F0222CC"/>
    <w:rsid w:val="3FAB3A1E"/>
    <w:rsid w:val="401D2006"/>
    <w:rsid w:val="40244DDE"/>
    <w:rsid w:val="41AD78F5"/>
    <w:rsid w:val="43542F66"/>
    <w:rsid w:val="43A439C8"/>
    <w:rsid w:val="44B81226"/>
    <w:rsid w:val="45AA1E1F"/>
    <w:rsid w:val="462D7215"/>
    <w:rsid w:val="46A47E45"/>
    <w:rsid w:val="47230452"/>
    <w:rsid w:val="49586EA8"/>
    <w:rsid w:val="49822AC3"/>
    <w:rsid w:val="4BCD6209"/>
    <w:rsid w:val="4DCB6A41"/>
    <w:rsid w:val="4EA95B28"/>
    <w:rsid w:val="51107B5F"/>
    <w:rsid w:val="51562946"/>
    <w:rsid w:val="528C1234"/>
    <w:rsid w:val="53E33F86"/>
    <w:rsid w:val="5513591F"/>
    <w:rsid w:val="55B4200A"/>
    <w:rsid w:val="55D3314C"/>
    <w:rsid w:val="58455CA1"/>
    <w:rsid w:val="59D15B05"/>
    <w:rsid w:val="5A076719"/>
    <w:rsid w:val="5EA12B9A"/>
    <w:rsid w:val="5FAF1CEF"/>
    <w:rsid w:val="616A3A39"/>
    <w:rsid w:val="62CC6143"/>
    <w:rsid w:val="62D77D40"/>
    <w:rsid w:val="63A828F7"/>
    <w:rsid w:val="63C255F7"/>
    <w:rsid w:val="644843F8"/>
    <w:rsid w:val="64687842"/>
    <w:rsid w:val="646E474A"/>
    <w:rsid w:val="64711015"/>
    <w:rsid w:val="64F176A2"/>
    <w:rsid w:val="66956685"/>
    <w:rsid w:val="67D077E9"/>
    <w:rsid w:val="6A675D38"/>
    <w:rsid w:val="6D9020D6"/>
    <w:rsid w:val="6EA36731"/>
    <w:rsid w:val="6F611BF9"/>
    <w:rsid w:val="6FE16B9E"/>
    <w:rsid w:val="707E7B4E"/>
    <w:rsid w:val="718314ED"/>
    <w:rsid w:val="74421025"/>
    <w:rsid w:val="748B1532"/>
    <w:rsid w:val="753B6A83"/>
    <w:rsid w:val="755B24E3"/>
    <w:rsid w:val="76920644"/>
    <w:rsid w:val="7738099C"/>
    <w:rsid w:val="77A81EE5"/>
    <w:rsid w:val="77B06974"/>
    <w:rsid w:val="7A041EA6"/>
    <w:rsid w:val="7BC32F24"/>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0"/>
    <w:pPr>
      <w:spacing w:after="120"/>
    </w:pPr>
  </w:style>
  <w:style w:type="paragraph" w:styleId="4">
    <w:name w:val="Plain Text"/>
    <w:basedOn w:val="1"/>
    <w:link w:val="16"/>
    <w:qFormat/>
    <w:uiPriority w:val="0"/>
    <w:rPr>
      <w:rFonts w:ascii="宋体" w:hAnsi="Courier New"/>
      <w:szCs w:val="21"/>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2"/>
    <w:qFormat/>
    <w:uiPriority w:val="99"/>
    <w:rPr>
      <w:rFonts w:ascii="Times New Roman" w:hAnsi="Times New Roman" w:eastAsia="宋体" w:cs="Times New Roman"/>
      <w:sz w:val="18"/>
      <w:szCs w:val="18"/>
    </w:rPr>
  </w:style>
  <w:style w:type="character" w:customStyle="1" w:styleId="11">
    <w:name w:val="页脚 Char"/>
    <w:basedOn w:val="8"/>
    <w:link w:val="6"/>
    <w:qFormat/>
    <w:uiPriority w:val="99"/>
    <w:rPr>
      <w:rFonts w:ascii="Times New Roman" w:hAnsi="Times New Roman" w:eastAsia="宋体" w:cs="Times New Roman"/>
      <w:sz w:val="18"/>
      <w:szCs w:val="18"/>
    </w:rPr>
  </w:style>
  <w:style w:type="character" w:customStyle="1" w:styleId="12">
    <w:name w:val="批注框文本 Char"/>
    <w:basedOn w:val="8"/>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Char"/>
    <w:basedOn w:val="1"/>
    <w:qFormat/>
    <w:uiPriority w:val="0"/>
    <w:pPr>
      <w:widowControl/>
      <w:spacing w:after="160" w:line="240" w:lineRule="exact"/>
      <w:jc w:val="left"/>
    </w:pPr>
  </w:style>
  <w:style w:type="paragraph" w:styleId="15">
    <w:name w:val="List Paragraph"/>
    <w:basedOn w:val="1"/>
    <w:unhideWhenUsed/>
    <w:qFormat/>
    <w:uiPriority w:val="99"/>
    <w:pPr>
      <w:ind w:firstLine="420" w:firstLineChars="200"/>
    </w:pPr>
  </w:style>
  <w:style w:type="character" w:customStyle="1" w:styleId="16">
    <w:name w:val="纯文本 Char"/>
    <w:link w:val="4"/>
    <w:qFormat/>
    <w:uiPriority w:val="0"/>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1554</Words>
  <Characters>8864</Characters>
  <Lines>73</Lines>
  <Paragraphs>20</Paragraphs>
  <TotalTime>1</TotalTime>
  <ScaleCrop>false</ScaleCrop>
  <LinksUpToDate>false</LinksUpToDate>
  <CharactersWithSpaces>10398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2021-05-24T02:57:30Z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6A199F0A8B8644478D3F62144CFE193B</vt:lpwstr>
  </property>
</Properties>
</file>