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管理层            </w:t>
            </w:r>
            <w:r>
              <w:rPr>
                <w:rFonts w:hint="eastAsia"/>
                <w:sz w:val="21"/>
                <w:szCs w:val="21"/>
              </w:rPr>
              <w:t>主管领导</w:t>
            </w:r>
            <w:r>
              <w:rPr>
                <w:rFonts w:hint="eastAsia"/>
                <w:sz w:val="21"/>
                <w:szCs w:val="21"/>
                <w:lang w:eastAsia="zh-CN"/>
              </w:rPr>
              <w:t>：</w:t>
            </w:r>
            <w:r>
              <w:rPr>
                <w:rFonts w:hint="eastAsia"/>
                <w:sz w:val="21"/>
                <w:szCs w:val="21"/>
                <w:lang w:val="en-US" w:eastAsia="zh-CN"/>
              </w:rPr>
              <w:t>徐俊强</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sz w:val="21"/>
                <w:szCs w:val="21"/>
                <w:lang w:val="en-US"/>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w:t>
            </w:r>
            <w:r>
              <w:rPr>
                <w:rFonts w:hint="eastAsia"/>
                <w:sz w:val="21"/>
                <w:szCs w:val="21"/>
                <w:lang w:val="en-US" w:eastAsia="zh-CN"/>
              </w:rPr>
              <w:t>18</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color w:val="auto"/>
                <w:sz w:val="21"/>
                <w:szCs w:val="21"/>
              </w:rPr>
              <w:t>审核条款：</w:t>
            </w:r>
            <w:r>
              <w:rPr>
                <w:rFonts w:hint="eastAsia" w:ascii="宋体" w:hAnsi="宋体" w:eastAsia="宋体" w:cs="宋体"/>
                <w:b w:val="0"/>
                <w:bCs/>
                <w:color w:val="auto"/>
                <w:sz w:val="21"/>
                <w:szCs w:val="21"/>
                <w:highlight w:val="none"/>
                <w:lang w:val="en-US" w:eastAsia="zh-CN"/>
              </w:rPr>
              <w:t>QS4.1</w:t>
            </w:r>
            <w:r>
              <w:rPr>
                <w:rFonts w:hint="eastAsia" w:ascii="宋体" w:hAnsi="宋体" w:cs="宋体"/>
                <w:b w:val="0"/>
                <w:bCs/>
                <w:color w:val="auto"/>
                <w:sz w:val="21"/>
                <w:szCs w:val="21"/>
                <w:highlight w:val="none"/>
                <w:lang w:val="en-US" w:eastAsia="zh-CN"/>
              </w:rPr>
              <w:t>；4.3；</w:t>
            </w:r>
            <w:r>
              <w:rPr>
                <w:rFonts w:hint="eastAsia" w:ascii="宋体" w:hAnsi="宋体" w:eastAsia="宋体" w:cs="宋体"/>
                <w:b w:val="0"/>
                <w:bCs/>
                <w:color w:val="auto"/>
                <w:sz w:val="21"/>
                <w:szCs w:val="21"/>
                <w:highlight w:val="none"/>
                <w:lang w:val="en-US" w:eastAsia="zh-CN"/>
              </w:rPr>
              <w:t>4.4</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5.2</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7.1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9.1.1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9.1.2</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9.3</w:t>
            </w:r>
            <w:r>
              <w:rPr>
                <w:rFonts w:hint="eastAsia" w:ascii="宋体" w:hAnsi="宋体" w:cs="宋体"/>
                <w:b w:val="0"/>
                <w:bCs/>
                <w:color w:val="auto"/>
                <w:sz w:val="21"/>
                <w:szCs w:val="21"/>
                <w:highlight w:val="none"/>
                <w:lang w:val="en-US" w:eastAsia="zh-CN"/>
              </w:rPr>
              <w:t>。</w:t>
            </w:r>
            <w:bookmarkStart w:id="2" w:name="_GoBack"/>
            <w:bookmarkEnd w:id="2"/>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理解组织及其环境</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4.1</w:t>
            </w:r>
          </w:p>
        </w:tc>
        <w:tc>
          <w:tcPr>
            <w:tcW w:w="12250" w:type="dxa"/>
          </w:tcPr>
          <w:p>
            <w:pPr>
              <w:pStyle w:val="7"/>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河北强威服装有限公司始建于2008年，位于河北省石家庄市新华区北二环西路216号（北二环与中华大街交口西南角），占地</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00平</w:t>
            </w:r>
            <w:r>
              <w:rPr>
                <w:rFonts w:hint="eastAsia" w:ascii="宋体" w:hAnsi="宋体" w:eastAsia="宋体" w:cs="宋体"/>
                <w:color w:val="auto"/>
                <w:kern w:val="2"/>
                <w:sz w:val="21"/>
                <w:szCs w:val="21"/>
                <w:highlight w:val="none"/>
                <w:lang w:val="en-US" w:eastAsia="zh-CN"/>
              </w:rPr>
              <w:t>方米，</w:t>
            </w:r>
            <w:r>
              <w:rPr>
                <w:rFonts w:hint="eastAsia" w:ascii="宋体" w:hAnsi="宋体" w:eastAsia="宋体" w:cs="宋体"/>
                <w:color w:val="auto"/>
                <w:sz w:val="21"/>
                <w:szCs w:val="21"/>
                <w:highlight w:val="none"/>
              </w:rPr>
              <w:t>注册资金：2000万</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企业类型：有限责任公司（自然人独资），经营范围：标志服、西服、劳保服、环卫服的设计、制</w:t>
            </w:r>
            <w:r>
              <w:rPr>
                <w:rFonts w:hint="eastAsia" w:ascii="宋体" w:hAnsi="宋体" w:eastAsia="宋体" w:cs="宋体"/>
                <w:color w:val="auto"/>
                <w:sz w:val="21"/>
                <w:szCs w:val="21"/>
                <w:highlight w:val="none"/>
                <w:lang w:val="en-US" w:eastAsia="zh-CN"/>
              </w:rPr>
              <w:t>做</w:t>
            </w:r>
            <w:r>
              <w:rPr>
                <w:rFonts w:hint="eastAsia" w:ascii="宋体" w:hAnsi="宋体" w:eastAsia="宋体" w:cs="宋体"/>
                <w:color w:val="auto"/>
                <w:sz w:val="21"/>
                <w:szCs w:val="21"/>
                <w:highlight w:val="none"/>
              </w:rPr>
              <w:t>，服装服饰、服装辅料、标牌、标识、针纺织品、羊绒制品、雨衣、雨具、皮衣、服装鞋帽、窗帘、床上用品、办公用品、电子产品、一般劳保用品的销售（依法须经批准的项目，经相关部门批准后方可开展经营活动）</w:t>
            </w:r>
            <w:r>
              <w:rPr>
                <w:rFonts w:hint="eastAsia" w:ascii="宋体" w:hAnsi="宋体" w:eastAsia="宋体" w:cs="宋体"/>
                <w:color w:val="auto"/>
                <w:sz w:val="21"/>
                <w:szCs w:val="21"/>
                <w:highlight w:val="none"/>
                <w:lang w:eastAsia="zh-CN"/>
              </w:rPr>
              <w:t>。</w:t>
            </w:r>
          </w:p>
          <w:p>
            <w:pPr>
              <w:pStyle w:val="7"/>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rPr>
              <w:t>自建厂以来，经过不断发展壮大，现产品已远销内蒙、山西、北京、河南、武汉、云南等城市。公司的诚信、实力，产品的质量和优质的售后服务，赢得了各地客户的一致好评。</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公司现有</w:t>
            </w:r>
            <w:r>
              <w:rPr>
                <w:rFonts w:hint="eastAsia" w:ascii="宋体" w:hAnsi="宋体" w:eastAsia="宋体" w:cs="宋体"/>
                <w:color w:val="auto"/>
                <w:sz w:val="21"/>
                <w:szCs w:val="21"/>
                <w:highlight w:val="none"/>
                <w:lang w:val="en-US" w:eastAsia="zh-CN"/>
              </w:rPr>
              <w:t>员工20</w:t>
            </w:r>
            <w:r>
              <w:rPr>
                <w:rFonts w:hint="eastAsia" w:ascii="宋体" w:hAnsi="宋体" w:eastAsia="宋体" w:cs="宋体"/>
                <w:color w:val="auto"/>
                <w:sz w:val="21"/>
                <w:szCs w:val="21"/>
                <w:highlight w:val="none"/>
              </w:rPr>
              <w:t>多人，年生产能力</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万件（套）</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sz w:val="21"/>
                <w:szCs w:val="21"/>
                <w:highlight w:val="none"/>
              </w:rPr>
              <w:t>，公司以专业的队伍、严谨的管理、超卓的设备，着力打造西服、制服、职业装等衣服。</w:t>
            </w:r>
          </w:p>
          <w:p>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于2008年加入石家庄市工商业联合会，2012年公司被评为重质量讲诚信重点展示单位。2013年荣获河北省诚信经营示范单位称号等。在打造服饰文化的同时，河北强威服装有限公司坚持用企业文化提升企业核心竞争，使企业在发展中树立起良好的社会形象。“行远必自迩、追求无止境”。河北强威服装有限公司将一如既往的奋进不息，为建设美丽的实业奉献光荣，为制造中国服装的产业丰碑而永远向前。</w:t>
            </w:r>
          </w:p>
          <w:p>
            <w:pPr>
              <w:keepNext w:val="0"/>
              <w:keepLines w:val="0"/>
              <w:pageBreakBefore w:val="0"/>
              <w:widowControl w:val="0"/>
              <w:kinsoku/>
              <w:wordWrap/>
              <w:overflowPunct/>
              <w:topLinePunct w:val="0"/>
              <w:autoSpaceDE/>
              <w:autoSpaceDN/>
              <w:bidi w:val="0"/>
              <w:spacing w:before="156"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内部因素和外部因素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考虑内部管理、价值观、企业文化、企业的知识和管理绩效等相关因素。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公司主</w:t>
            </w:r>
            <w:r>
              <w:rPr>
                <w:rFonts w:hint="eastAsia" w:ascii="宋体" w:hAnsi="宋体" w:eastAsia="宋体" w:cs="宋体"/>
                <w:color w:val="auto"/>
                <w:sz w:val="21"/>
                <w:szCs w:val="21"/>
                <w:highlight w:val="none"/>
              </w:rPr>
              <w:t>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对这些内外部因素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通过定期的网站获取、顾客沟通（总结、会议、培训等形式）及内部沟通总结等方式进行监视和评审。</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color w:val="auto"/>
                <w:sz w:val="21"/>
                <w:szCs w:val="21"/>
              </w:rPr>
            </w:pPr>
            <w:r>
              <w:rPr>
                <w:rFonts w:hint="eastAsia" w:ascii="宋体" w:hAnsi="宋体" w:eastAsia="宋体" w:cs="宋体"/>
                <w:color w:val="auto"/>
                <w:sz w:val="21"/>
                <w:szCs w:val="21"/>
                <w:highlight w:val="none"/>
              </w:rPr>
              <w:t>公司依据GB/T 19001-2016、GB/T 24001-2016和GB/T45001-2020标准要求，结合本公司特点和战略规划，制定公司的组织结构。</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确定管理体系的范围</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4.3</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公司认证的范围：</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1"/>
                <w:szCs w:val="21"/>
                <w:highlight w:val="none"/>
                <w:lang w:eastAsia="zh-CN"/>
              </w:rPr>
            </w:pPr>
            <w:bookmarkStart w:id="0" w:name="审核范围"/>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：标志服、西服的设计和制作所涉及场所的相关</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管理活动</w:t>
            </w:r>
            <w:bookmarkEnd w:id="0"/>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b w:val="0"/>
                <w:bCs w:val="0"/>
                <w:color w:val="auto"/>
                <w:sz w:val="21"/>
                <w:szCs w:val="21"/>
                <w:highlight w:val="none"/>
              </w:rPr>
              <w:t>生产场所：</w:t>
            </w:r>
            <w:r>
              <w:rPr>
                <w:rFonts w:hint="eastAsia" w:ascii="宋体" w:hAnsi="宋体" w:eastAsia="宋体" w:cs="宋体"/>
                <w:color w:val="auto"/>
                <w:kern w:val="2"/>
                <w:sz w:val="21"/>
                <w:szCs w:val="21"/>
                <w:highlight w:val="none"/>
              </w:rPr>
              <w:t>河北省石家庄市新华区北二环西路216号</w:t>
            </w:r>
            <w:r>
              <w:rPr>
                <w:rFonts w:hint="eastAsia" w:ascii="宋体" w:hAnsi="宋体" w:eastAsia="宋体" w:cs="宋体"/>
                <w:color w:val="auto"/>
                <w:kern w:val="2"/>
                <w:sz w:val="21"/>
                <w:szCs w:val="21"/>
                <w:highlight w:val="none"/>
                <w:lang w:eastAsia="zh-CN"/>
              </w:rPr>
              <w:t>。</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rPr>
              <w:t>管理体系</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4.4</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本公司按照 GB/T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9001:201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《质量管理体系要求》、 GB/T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4001:201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《环境管理体系要求及使用指南》和GB/T45001-2020《职业健康安全管理体系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要求及使用指南》标准的要求，</w:t>
            </w:r>
            <w:r>
              <w:rPr>
                <w:rFonts w:hint="eastAsia" w:ascii="宋体" w:hAnsi="宋体" w:eastAsia="宋体" w:cs="宋体"/>
                <w:color w:val="auto"/>
                <w:sz w:val="21"/>
                <w:szCs w:val="21"/>
                <w:highlight w:val="none"/>
                <w:lang w:val="en-US" w:eastAsia="zh-CN"/>
              </w:rPr>
              <w:t>建立了一体化</w:t>
            </w:r>
            <w:r>
              <w:rPr>
                <w:rFonts w:hint="eastAsia" w:ascii="宋体" w:hAnsi="宋体" w:eastAsia="宋体" w:cs="宋体"/>
                <w:color w:val="auto"/>
                <w:sz w:val="21"/>
                <w:szCs w:val="21"/>
                <w:highlight w:val="none"/>
                <w:lang w:val="zh-CN" w:eastAsia="zh-CN"/>
              </w:rPr>
              <w:t>管理体系,</w:t>
            </w:r>
            <w:r>
              <w:rPr>
                <w:rFonts w:hint="eastAsia" w:ascii="宋体" w:hAnsi="宋体" w:eastAsia="宋体" w:cs="宋体"/>
                <w:color w:val="auto"/>
                <w:sz w:val="21"/>
                <w:szCs w:val="21"/>
                <w:highlight w:val="none"/>
                <w:lang w:val="en-US" w:eastAsia="zh-CN"/>
              </w:rPr>
              <w:t>识别了过程及其相互作用，并形成文件，本公司全体员工将有效地贯彻执行并持续改进其有效性。</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管理体系及其过程</w:t>
            </w:r>
            <w:r>
              <w:rPr>
                <w:rFonts w:hint="eastAsia" w:ascii="宋体" w:hAnsi="宋体" w:eastAsia="宋体" w:cs="宋体"/>
                <w:color w:val="auto"/>
                <w:sz w:val="21"/>
                <w:szCs w:val="21"/>
                <w:highlight w:val="none"/>
                <w:lang w:val="en-US" w:eastAsia="zh-CN"/>
              </w:rPr>
              <w:t>为：</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公司于2020年下半年对质量/环境/职业健康安全管理体系进行策划，识别了各个过程、环境因素、危险源等，编制了管理手册、程序文件、支持性文件及记录，于</w:t>
            </w: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eastAsia="zh-CN"/>
              </w:rPr>
              <w:t>年1月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日发布</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val="zh-CN" w:eastAsia="zh-CN"/>
              </w:rPr>
              <w:t>实施。</w:t>
            </w:r>
          </w:p>
          <w:p>
            <w:pPr>
              <w:pStyle w:val="2"/>
              <w:rPr>
                <w:rFonts w:hint="default"/>
                <w:lang w:val="en-US" w:eastAsia="zh-CN"/>
              </w:rPr>
            </w:pPr>
            <w:r>
              <w:rPr>
                <w:rFonts w:hint="eastAsia" w:ascii="宋体" w:hAnsi="宋体" w:cs="宋体"/>
                <w:color w:val="auto"/>
                <w:sz w:val="21"/>
                <w:szCs w:val="21"/>
                <w:highlight w:val="none"/>
                <w:lang w:val="en-US" w:eastAsia="zh-CN"/>
              </w:rPr>
              <w:t xml:space="preserve">   质量管理体系应用</w:t>
            </w:r>
            <w:r>
              <w:rPr>
                <w:rFonts w:hint="eastAsia" w:ascii="宋体" w:hAnsi="宋体" w:eastAsia="宋体" w:cs="宋体"/>
                <w:color w:val="auto"/>
                <w:sz w:val="21"/>
                <w:szCs w:val="21"/>
                <w:highlight w:val="none"/>
                <w:lang w:val="zh-CN" w:eastAsia="zh-CN"/>
              </w:rPr>
              <w:t>GB/T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9001:201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《质量管理体系要求》</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无删减条款。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ascii="宋体" w:hAnsi="宋体" w:eastAsia="宋体" w:cs="宋体"/>
                <w:color w:val="auto"/>
                <w:sz w:val="21"/>
                <w:szCs w:val="21"/>
                <w:highlight w:val="none"/>
                <w:lang w:val="en-US" w:eastAsia="zh-CN"/>
              </w:rPr>
              <w:t>经过近半年多的运行，管理体系运行正常。</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方针</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5.2</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公司的管理方针：质量为本 安全生产 遵规守法 污染预防 节能降耗 持续改进。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方针体现以下几个方面：</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a)与公司的宗旨相适应：以人为本，与顾客同发展，为社会创造价值；</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b)包括了对保证产品质量、控制污染预防、保护员工健康和持续改进管理体系有效性的承诺；</w:t>
            </w:r>
          </w:p>
          <w:p>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c)提供了制定和评审质量/环境/职业健康安全目标的框架。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FF"/>
                <w:sz w:val="21"/>
                <w:szCs w:val="21"/>
                <w:lang w:val="en-US" w:eastAsia="zh-CN"/>
              </w:rPr>
            </w:pPr>
            <w:r>
              <w:rPr>
                <w:rFonts w:hint="eastAsia" w:ascii="宋体" w:hAnsi="宋体" w:eastAsia="宋体" w:cs="宋体"/>
                <w:color w:val="auto"/>
                <w:sz w:val="21"/>
                <w:szCs w:val="21"/>
                <w:highlight w:val="none"/>
                <w:lang w:val="zh-CN" w:eastAsia="zh-CN"/>
              </w:rPr>
              <w:t>公司的方针已经形成文件并获得保持。总经理作为公司的最高管理者</w:t>
            </w:r>
            <w:r>
              <w:rPr>
                <w:rFonts w:hint="eastAsia" w:ascii="宋体" w:hAnsi="宋体" w:eastAsia="宋体" w:cs="宋体"/>
                <w:color w:val="auto"/>
                <w:sz w:val="21"/>
                <w:szCs w:val="21"/>
                <w:highlight w:val="none"/>
                <w:lang w:val="en-US" w:eastAsia="zh-CN"/>
              </w:rPr>
              <w:t>进行制定和批准</w:t>
            </w:r>
            <w:r>
              <w:rPr>
                <w:rFonts w:hint="eastAsia" w:ascii="宋体" w:hAnsi="宋体" w:eastAsia="宋体" w:cs="宋体"/>
                <w:color w:val="auto"/>
                <w:sz w:val="21"/>
                <w:szCs w:val="21"/>
                <w:highlight w:val="none"/>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rPr>
            </w:pPr>
            <w:r>
              <w:rPr>
                <w:rFonts w:hint="eastAsia" w:ascii="宋体" w:hAnsi="宋体" w:eastAsia="宋体" w:cs="宋体"/>
                <w:color w:val="auto"/>
                <w:sz w:val="21"/>
                <w:szCs w:val="21"/>
                <w:highlight w:val="none"/>
                <w:lang w:val="en-US" w:eastAsia="zh-CN"/>
              </w:rPr>
              <w:t>资源</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体系覆盖人数确认</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7.1</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公司位于</w:t>
            </w:r>
            <w:r>
              <w:rPr>
                <w:rFonts w:hint="eastAsia" w:ascii="宋体" w:hAnsi="宋体" w:eastAsia="宋体" w:cs="宋体"/>
                <w:color w:val="auto"/>
                <w:kern w:val="2"/>
                <w:sz w:val="21"/>
                <w:szCs w:val="21"/>
                <w:highlight w:val="none"/>
              </w:rPr>
              <w:t>河北省石家庄市新华区北二环西路216号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从2008年经营至今，有稳定的供应商及客户群。</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公司具有相对稳定的员工队伍，尤其是主要骨干力量。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公司租赁的办公场所总面积800平方米，配置了先进的生产设备，如：</w:t>
            </w:r>
            <w:r>
              <w:rPr>
                <w:rFonts w:hint="eastAsia" w:ascii="宋体" w:hAnsi="宋体" w:eastAsia="宋体" w:cs="宋体"/>
                <w:color w:val="auto"/>
                <w:spacing w:val="-10"/>
                <w:sz w:val="21"/>
                <w:szCs w:val="21"/>
                <w:highlight w:val="none"/>
                <w:lang w:val="en-US" w:eastAsia="zh-CN"/>
              </w:rPr>
              <w:t>打板机、拉布机、压衬机、电动缝纫机、锁边机、扦边机、切刀机、双针机、包兜机、熨烫机、锁眼机、钉扣机、打结机、电带机、监控仪等等</w:t>
            </w:r>
            <w:r>
              <w:rPr>
                <w:rFonts w:hint="eastAsia" w:ascii="宋体" w:hAnsi="宋体" w:eastAsia="宋体" w:cs="宋体"/>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上述设备设施能满足生产经营需要。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rPr>
              <w:t>体系覆盖人数</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23。</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highlight w:val="none"/>
                <w:lang w:val="en-US" w:eastAsia="zh-CN"/>
              </w:rPr>
              <w:t>监视、测量、分析和评价</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9.1.1</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公司考虑已确定的风险和机遇，确定监视和测量的对象和内容，以便：</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——证实服务的符合性；</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——评价过程质量绩效、环境绩效和职业健康安全管理绩效；</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——确保质量/环境/职业健康安全管理体系的符合性和有效性；</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bookmarkStart w:id="1" w:name="OLE_LINK40"/>
            <w:r>
              <w:rPr>
                <w:rFonts w:hint="eastAsia" w:ascii="宋体" w:hAnsi="宋体" w:eastAsia="宋体" w:cs="宋体"/>
                <w:color w:val="auto"/>
                <w:sz w:val="21"/>
                <w:szCs w:val="21"/>
                <w:highlight w:val="none"/>
              </w:rPr>
              <w:t>——</w:t>
            </w:r>
            <w:bookmarkEnd w:id="1"/>
            <w:r>
              <w:rPr>
                <w:rFonts w:hint="eastAsia" w:ascii="宋体" w:hAnsi="宋体" w:eastAsia="宋体" w:cs="宋体"/>
                <w:color w:val="auto"/>
                <w:sz w:val="21"/>
                <w:szCs w:val="21"/>
                <w:highlight w:val="none"/>
              </w:rPr>
              <w:t>评价顾客满意度；</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 评价外部供方的业绩；</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 xml:space="preserve">) 确定监视、测量（适用时)、分析和评价的方法，以确保结果可行；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 组织评价其环境绩效所依据的准则和适当的参数；</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 xml:space="preserve">) 确定监视和测量的时机，何时应实施监视和测量；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e) 确定何时对监测和测量结果进行分析和评价；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f) 确定所需的质量/环境/职业健康安全管理体系绩效指标。 </w:t>
            </w:r>
          </w:p>
          <w:p>
            <w:pPr>
              <w:keepNext w:val="0"/>
              <w:keepLines w:val="0"/>
              <w:pageBreakBefore w:val="0"/>
              <w:widowControl w:val="0"/>
              <w:kinsoku/>
              <w:wordWrap/>
              <w:overflowPunct/>
              <w:topLinePunct w:val="0"/>
              <w:autoSpaceDE/>
              <w:autoSpaceDN/>
              <w:bidi w:val="0"/>
              <w:spacing w:before="156"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color w:val="auto"/>
                <w:sz w:val="21"/>
                <w:szCs w:val="21"/>
                <w:highlight w:val="none"/>
              </w:rPr>
              <w:t>对绩效的分析和评价，对事项进行汇报的程序等。保留了必要的记录文件。</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rPr>
            </w:pPr>
            <w:r>
              <w:rPr>
                <w:rFonts w:hint="eastAsia" w:ascii="宋体" w:hAnsi="宋体" w:cs="宋体"/>
                <w:color w:val="auto"/>
                <w:sz w:val="21"/>
                <w:szCs w:val="21"/>
                <w:highlight w:val="none"/>
                <w:lang w:val="en-US" w:eastAsia="zh-CN"/>
              </w:rPr>
              <w:t>顾客满意/</w:t>
            </w:r>
            <w:r>
              <w:rPr>
                <w:rFonts w:hint="eastAsia" w:ascii="宋体" w:hAnsi="宋体" w:eastAsia="宋体" w:cs="宋体"/>
                <w:color w:val="auto"/>
                <w:sz w:val="21"/>
                <w:szCs w:val="21"/>
                <w:highlight w:val="none"/>
                <w:lang w:val="en-US" w:eastAsia="zh-CN"/>
              </w:rPr>
              <w:t>合规性评价</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QS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9.1.2</w:t>
            </w:r>
          </w:p>
        </w:tc>
        <w:tc>
          <w:tcPr>
            <w:tcW w:w="12250" w:type="dxa"/>
          </w:tcPr>
          <w:p>
            <w:pPr>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lang w:val="en-US" w:eastAsia="zh-CN"/>
              </w:rPr>
              <w:t>1）</w:t>
            </w:r>
            <w:r>
              <w:rPr>
                <w:rFonts w:hint="eastAsia" w:ascii="宋体" w:hAnsi="宋体" w:eastAsia="宋体" w:cs="宋体"/>
                <w:sz w:val="21"/>
                <w:szCs w:val="21"/>
                <w:highlight w:val="none"/>
                <w:lang w:val="en-US" w:eastAsia="zh-CN"/>
              </w:rPr>
              <w:t>公司制定了《顾客满意度管理程序》，对</w:t>
            </w:r>
            <w:r>
              <w:rPr>
                <w:rFonts w:hint="eastAsia" w:ascii="宋体" w:hAnsi="宋体" w:eastAsia="宋体" w:cs="宋体"/>
                <w:sz w:val="21"/>
                <w:szCs w:val="21"/>
                <w:highlight w:val="none"/>
              </w:rPr>
              <w:t>顾客满意度调查的方式方法、调查分析等做相应规定，</w:t>
            </w:r>
            <w:r>
              <w:rPr>
                <w:rFonts w:hint="eastAsia" w:ascii="宋体" w:hAnsi="宋体" w:cs="宋体"/>
                <w:sz w:val="21"/>
                <w:szCs w:val="21"/>
                <w:highlight w:val="none"/>
                <w:lang w:val="en-US" w:eastAsia="zh-CN"/>
              </w:rPr>
              <w:t>销售部</w:t>
            </w:r>
            <w:r>
              <w:rPr>
                <w:rFonts w:hint="eastAsia" w:ascii="宋体" w:hAnsi="宋体" w:eastAsia="宋体" w:cs="宋体"/>
                <w:sz w:val="21"/>
                <w:szCs w:val="21"/>
                <w:highlight w:val="none"/>
              </w:rPr>
              <w:t>为主管部门。</w:t>
            </w:r>
          </w:p>
          <w:p>
            <w:pPr>
              <w:keepLines w:val="0"/>
              <w:pageBreakBefore w:val="0"/>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今年5月</w:t>
            </w:r>
            <w:r>
              <w:rPr>
                <w:rFonts w:hint="eastAsia" w:ascii="宋体" w:hAnsi="宋体" w:cs="宋体"/>
                <w:sz w:val="21"/>
                <w:szCs w:val="21"/>
                <w:highlight w:val="none"/>
                <w:lang w:val="en-US" w:eastAsia="zh-CN"/>
              </w:rPr>
              <w:t>进行的</w:t>
            </w:r>
            <w:r>
              <w:rPr>
                <w:rFonts w:hint="eastAsia" w:ascii="宋体" w:hAnsi="宋体" w:eastAsia="宋体" w:cs="宋体"/>
                <w:sz w:val="21"/>
                <w:szCs w:val="21"/>
                <w:highlight w:val="none"/>
              </w:rPr>
              <w:t>顾客满意度</w:t>
            </w:r>
            <w:r>
              <w:rPr>
                <w:rFonts w:hint="eastAsia" w:ascii="宋体" w:hAnsi="宋体" w:cs="宋体"/>
                <w:sz w:val="21"/>
                <w:szCs w:val="21"/>
                <w:highlight w:val="none"/>
                <w:lang w:val="en-US" w:eastAsia="zh-CN"/>
              </w:rPr>
              <w:t>调查结果</w:t>
            </w:r>
            <w:r>
              <w:rPr>
                <w:rFonts w:hint="eastAsia" w:ascii="宋体" w:hAnsi="宋体" w:eastAsia="宋体" w:cs="宋体"/>
                <w:sz w:val="21"/>
                <w:szCs w:val="21"/>
                <w:highlight w:val="none"/>
                <w:lang w:val="en-US" w:eastAsia="zh-CN"/>
              </w:rPr>
              <w:t>为92%</w:t>
            </w:r>
            <w:r>
              <w:rPr>
                <w:rFonts w:hint="eastAsia" w:ascii="宋体" w:hAnsi="宋体" w:cs="宋体"/>
                <w:sz w:val="21"/>
                <w:szCs w:val="21"/>
                <w:highlight w:val="none"/>
                <w:lang w:val="en-US" w:eastAsia="zh-CN"/>
              </w:rPr>
              <w:t>，高于年初制定的目标。</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2）公司</w:t>
            </w:r>
            <w:r>
              <w:rPr>
                <w:rFonts w:hint="eastAsia"/>
              </w:rPr>
              <w:t>编制了《法律法规及其他要求控制程序》</w:t>
            </w:r>
            <w:r>
              <w:rPr>
                <w:rFonts w:hint="eastAsia"/>
                <w:lang w:eastAsia="zh-CN"/>
              </w:rPr>
              <w:t>，</w:t>
            </w:r>
            <w:r>
              <w:rPr>
                <w:rFonts w:hint="eastAsia"/>
                <w:lang w:val="en-US" w:eastAsia="zh-CN"/>
              </w:rPr>
              <w:t>办公室为主要负责单位。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今年4月30日，由办公室组织进行了合规性评价，所有45项法律法规及其他要求都得到遵守。</w:t>
            </w:r>
          </w:p>
          <w:p>
            <w:pPr>
              <w:pStyle w:val="2"/>
              <w:ind w:firstLine="46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这一评价结果，办公室及时汇报了公司管理层。</w:t>
            </w:r>
          </w:p>
          <w:p>
            <w:pPr>
              <w:pStyle w:val="2"/>
              <w:ind w:firstLine="46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上述二方面的</w:t>
            </w:r>
            <w:r>
              <w:rPr>
                <w:rFonts w:hint="eastAsia" w:ascii="宋体" w:hAnsi="宋体" w:eastAsia="宋体" w:cs="宋体"/>
                <w:color w:val="auto"/>
                <w:sz w:val="21"/>
                <w:szCs w:val="21"/>
                <w:highlight w:val="none"/>
                <w:lang w:val="en-US" w:eastAsia="zh-CN"/>
              </w:rPr>
              <w:t>细节情况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FF"/>
                <w:sz w:val="21"/>
                <w:szCs w:val="21"/>
              </w:rPr>
            </w:pPr>
            <w:r>
              <w:rPr>
                <w:rFonts w:hint="eastAsia" w:ascii="宋体" w:hAnsi="宋体" w:eastAsia="宋体" w:cs="宋体"/>
                <w:color w:val="auto"/>
                <w:sz w:val="21"/>
                <w:szCs w:val="21"/>
                <w:highlight w:val="none"/>
                <w:lang w:val="en-US" w:eastAsia="zh-CN"/>
              </w:rPr>
              <w:t>管理评审</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lang w:val="en-US" w:eastAsia="zh-CN"/>
              </w:rPr>
              <w:t>9.3</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提供了《管理体系管理评审计划》，明确了评审目的、时间、地点、参加评审的人员、评审的内容和各部门需准备的评审材料。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lang w:val="en-US" w:eastAsia="zh-CN"/>
              </w:rPr>
            </w:pPr>
            <w:r>
              <w:rPr>
                <w:rFonts w:hint="eastAsia"/>
                <w:lang w:val="en-US" w:eastAsia="zh-CN"/>
              </w:rPr>
              <w:t>按照策划的要求，总经理于2021年4月15日主持了管理评审，出示各部门输入资料：各部门领导作了本部门的体系运行工作汇报。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总经理认为：公司所建立并运行的管理体系是充分的、适宜的、有效的，方针、目标也是适宜的。</w:t>
            </w:r>
          </w:p>
          <w:p>
            <w:pPr>
              <w:pStyle w:val="2"/>
              <w:ind w:firstLine="460" w:firstLineChars="200"/>
              <w:rPr>
                <w:rFonts w:hint="eastAsia"/>
                <w:lang w:val="en-US" w:eastAsia="zh-CN"/>
              </w:rPr>
            </w:pPr>
            <w:r>
              <w:rPr>
                <w:rFonts w:hint="eastAsia" w:ascii="宋体" w:hAnsi="宋体" w:eastAsia="宋体" w:cs="宋体"/>
                <w:color w:val="auto"/>
                <w:sz w:val="21"/>
                <w:szCs w:val="21"/>
                <w:highlight w:val="none"/>
                <w:lang w:val="en-US" w:eastAsia="zh-CN"/>
              </w:rPr>
              <w:t>细节情况有待二阶段审核关注。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r>
        <w:ptab w:relativeTo="margin" w:alignment="center" w:leader="none"/>
      </w:r>
    </w:p>
    <w:p/>
    <w:p/>
    <w:tbl>
      <w:tblPr>
        <w:tblStyle w:val="11"/>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w:t>
            </w:r>
            <w:r>
              <w:rPr>
                <w:rFonts w:hint="eastAsia" w:ascii="宋体" w:hAnsi="宋体" w:eastAsia="宋体" w:cs="宋体"/>
                <w:color w:val="auto"/>
                <w:sz w:val="21"/>
                <w:szCs w:val="21"/>
                <w:highlight w:val="none"/>
                <w:lang w:val="en-US" w:eastAsia="zh-CN"/>
              </w:rPr>
              <w:t>汪红彩</w:t>
            </w:r>
            <w:r>
              <w:rPr>
                <w:rFonts w:hint="eastAsia" w:ascii="宋体" w:hAnsi="宋体" w:eastAsia="宋体" w:cs="宋体"/>
                <w:color w:val="auto"/>
                <w:sz w:val="21"/>
                <w:szCs w:val="21"/>
                <w:highlight w:val="none"/>
              </w:rPr>
              <w:t xml:space="preserve"> </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sz w:val="21"/>
                <w:szCs w:val="21"/>
                <w:lang w:val="en-US"/>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w:t>
            </w:r>
            <w:r>
              <w:rPr>
                <w:rFonts w:hint="eastAsia"/>
                <w:sz w:val="21"/>
                <w:szCs w:val="21"/>
                <w:lang w:val="en-US" w:eastAsia="zh-CN"/>
              </w:rPr>
              <w:t>18</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eastAsia="zh-CN"/>
              </w:rPr>
            </w:pPr>
            <w:r>
              <w:rPr>
                <w:rFonts w:hint="eastAsia"/>
                <w:sz w:val="21"/>
                <w:szCs w:val="21"/>
              </w:rPr>
              <w:t>审核条款：</w:t>
            </w: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highlight w:val="none"/>
              </w:rPr>
              <w:t>6.2</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rPr>
              <w:t>7.5</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highlight w:val="none"/>
                <w:lang w:val="en-US" w:eastAsia="zh-CN"/>
              </w:rPr>
              <w:t>9.2</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lang w:val="en-US" w:eastAsia="zh-CN"/>
              </w:rPr>
              <w:t>S6.1.3</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S8.2</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ascii="宋体" w:hAnsi="宋体" w:eastAsia="宋体" w:cs="宋体"/>
                <w:b w:val="0"/>
                <w:bCs/>
                <w:color w:val="auto"/>
                <w:sz w:val="21"/>
                <w:szCs w:val="21"/>
                <w:highlight w:val="none"/>
              </w:rPr>
              <w:t>目标、指标和管理方案</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1"/>
                <w:szCs w:val="21"/>
                <w:lang w:val="en-US"/>
              </w:rPr>
            </w:pPr>
            <w:r>
              <w:rPr>
                <w:rFonts w:hint="eastAsia" w:ascii="宋体" w:hAnsi="宋体" w:cs="宋体"/>
                <w:b w:val="0"/>
                <w:bCs/>
                <w:color w:val="auto"/>
                <w:sz w:val="21"/>
                <w:szCs w:val="21"/>
                <w:lang w:val="en-US" w:eastAsia="zh-CN"/>
              </w:rPr>
              <w:t>QS6.2</w:t>
            </w:r>
          </w:p>
        </w:tc>
        <w:tc>
          <w:tcPr>
            <w:tcW w:w="12250" w:type="dxa"/>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公司管理层以方针为框架，结合公司的实际运营情况，制定公司的</w:t>
            </w:r>
            <w:r>
              <w:rPr>
                <w:rFonts w:hint="eastAsia" w:ascii="宋体" w:hAnsi="宋体" w:eastAsia="宋体" w:cs="宋体"/>
                <w:color w:val="auto"/>
                <w:sz w:val="21"/>
                <w:szCs w:val="21"/>
                <w:highlight w:val="none"/>
                <w:lang w:val="en-US" w:eastAsia="zh-CN"/>
              </w:rPr>
              <w:t>2021年度环境</w:t>
            </w:r>
            <w:r>
              <w:rPr>
                <w:rFonts w:hint="eastAsia" w:ascii="宋体" w:hAnsi="宋体" w:eastAsia="宋体" w:cs="宋体"/>
                <w:color w:val="auto"/>
                <w:sz w:val="21"/>
                <w:szCs w:val="21"/>
                <w:highlight w:val="none"/>
                <w:lang w:val="zh-CN" w:eastAsia="zh-CN"/>
              </w:rPr>
              <w:t>目标为：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火灾事</w:t>
            </w:r>
            <w:r>
              <w:rPr>
                <w:rFonts w:hint="eastAsia" w:ascii="宋体" w:hAnsi="宋体" w:eastAsia="宋体" w:cs="宋体"/>
                <w:color w:val="auto"/>
                <w:sz w:val="21"/>
                <w:szCs w:val="21"/>
                <w:highlight w:val="none"/>
                <w:lang w:val="en-US" w:eastAsia="zh-CN"/>
              </w:rPr>
              <w:t>故</w:t>
            </w:r>
            <w:r>
              <w:rPr>
                <w:rFonts w:hint="eastAsia" w:ascii="宋体" w:hAnsi="宋体" w:eastAsia="宋体" w:cs="宋体"/>
                <w:color w:val="auto"/>
                <w:sz w:val="21"/>
                <w:szCs w:val="21"/>
                <w:highlight w:val="none"/>
              </w:rPr>
              <w:t>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产生的固体废物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布料的边角余料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全部集中收集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并外排到市政生活垃圾箱</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噪声达到《GB 12348-2008工业企业厂界噪声标准》3类标准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lang w:eastAsia="zh-CN"/>
              </w:rPr>
            </w:pPr>
            <w:r>
              <w:rPr>
                <w:rFonts w:hint="eastAsia" w:ascii="宋体" w:hAnsi="宋体" w:eastAsia="宋体" w:cs="宋体"/>
                <w:color w:val="auto"/>
                <w:sz w:val="21"/>
                <w:szCs w:val="21"/>
                <w:highlight w:val="none"/>
                <w:lang w:val="en-US" w:eastAsia="zh-CN"/>
              </w:rPr>
              <w:t>上述目标按季度统计并进行考核，今年第一季度目标完成情况良好。</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办公室负责组织公司目标的分解工作，所有部门（办公室、采购部、生产技术部、销售部）均有自己部门的目标指标，生产技术部还制定了管理方案。</w:t>
            </w:r>
          </w:p>
          <w:p>
            <w:pPr>
              <w:pStyle w:val="2"/>
              <w:keepNext w:val="0"/>
              <w:keepLines w:val="0"/>
              <w:pageBreakBefore w:val="0"/>
              <w:widowControl w:val="0"/>
              <w:kinsoku/>
              <w:wordWrap/>
              <w:overflowPunct/>
              <w:topLinePunct w:val="0"/>
              <w:autoSpaceDE/>
              <w:autoSpaceDN/>
              <w:bidi w:val="0"/>
              <w:spacing w:line="360" w:lineRule="auto"/>
              <w:textAlignment w:val="auto"/>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各部门目标是否适宜、管理方案的可操作性如何等</w:t>
            </w:r>
            <w:r>
              <w:rPr>
                <w:rFonts w:hint="eastAsia" w:ascii="宋体" w:hAnsi="宋体" w:eastAsia="宋体" w:cs="宋体"/>
                <w:color w:val="auto"/>
                <w:sz w:val="21"/>
                <w:szCs w:val="21"/>
                <w:highlight w:val="none"/>
                <w:lang w:val="en-US" w:eastAsia="zh-CN"/>
              </w:rPr>
              <w:t>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val="0"/>
                <w:sz w:val="21"/>
                <w:szCs w:val="21"/>
                <w:highlight w:val="none"/>
                <w:lang w:bidi="ar"/>
              </w:rPr>
              <w:t>成文信息</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QS</w:t>
            </w:r>
            <w:r>
              <w:rPr>
                <w:rFonts w:hint="eastAsia" w:ascii="宋体" w:hAnsi="宋体" w:eastAsia="宋体" w:cs="宋体"/>
                <w:b w:val="0"/>
                <w:bCs/>
                <w:color w:val="auto"/>
                <w:sz w:val="21"/>
                <w:szCs w:val="21"/>
              </w:rPr>
              <w:t>7.5</w:t>
            </w:r>
          </w:p>
        </w:tc>
        <w:tc>
          <w:tcPr>
            <w:tcW w:w="12250" w:type="dxa"/>
          </w:tcPr>
          <w:p>
            <w:pPr>
              <w:tabs>
                <w:tab w:val="center" w:pos="3169"/>
              </w:tabs>
              <w:spacing w:line="400" w:lineRule="exact"/>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rPr>
              <w:t>◆编制</w:t>
            </w:r>
            <w:r>
              <w:rPr>
                <w:rFonts w:hint="eastAsia" w:ascii="宋体" w:hAnsi="宋体" w:eastAsia="宋体" w:cs="宋体"/>
                <w:sz w:val="21"/>
                <w:szCs w:val="21"/>
                <w:highlight w:val="none"/>
                <w:lang w:val="en-US" w:eastAsia="zh-CN"/>
              </w:rPr>
              <w:t>并发布</w:t>
            </w:r>
            <w:r>
              <w:rPr>
                <w:rFonts w:hint="eastAsia" w:ascii="宋体" w:hAnsi="宋体" w:eastAsia="宋体" w:cs="宋体"/>
                <w:sz w:val="21"/>
                <w:szCs w:val="21"/>
                <w:highlight w:val="none"/>
                <w:lang w:bidi="ar"/>
              </w:rPr>
              <w:t>了《文件控制程序》，</w:t>
            </w:r>
            <w:r>
              <w:rPr>
                <w:rFonts w:hint="eastAsia" w:ascii="宋体" w:hAnsi="宋体" w:eastAsia="宋体" w:cs="宋体"/>
                <w:sz w:val="21"/>
                <w:szCs w:val="21"/>
                <w:highlight w:val="none"/>
                <w:lang w:val="en-US" w:eastAsia="zh-CN" w:bidi="ar"/>
              </w:rPr>
              <w:t>程序</w:t>
            </w:r>
            <w:r>
              <w:rPr>
                <w:rFonts w:hint="eastAsia" w:ascii="宋体" w:hAnsi="宋体" w:eastAsia="宋体" w:cs="宋体"/>
                <w:sz w:val="21"/>
                <w:szCs w:val="21"/>
                <w:highlight w:val="none"/>
                <w:lang w:bidi="ar"/>
              </w:rPr>
              <w:t>规定了</w:t>
            </w:r>
            <w:r>
              <w:rPr>
                <w:rFonts w:hint="eastAsia" w:ascii="宋体" w:hAnsi="宋体" w:eastAsia="宋体" w:cs="宋体"/>
                <w:sz w:val="21"/>
                <w:szCs w:val="21"/>
                <w:highlight w:val="none"/>
                <w:lang w:val="en-US" w:eastAsia="zh-CN" w:bidi="ar"/>
              </w:rPr>
              <w:t>体系</w:t>
            </w:r>
            <w:r>
              <w:rPr>
                <w:rFonts w:hint="eastAsia" w:ascii="宋体" w:hAnsi="宋体" w:eastAsia="宋体" w:cs="宋体"/>
                <w:sz w:val="21"/>
                <w:szCs w:val="21"/>
                <w:highlight w:val="none"/>
                <w:lang w:bidi="ar"/>
              </w:rPr>
              <w:t>文件的编制、审批、评审、编号、回收、发放、更改、换版、作废等的管理和控制。</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查《受控文件清单 》，包括管理手册、程序文件及公司制定的管理制度、</w:t>
            </w:r>
            <w:r>
              <w:rPr>
                <w:rFonts w:hint="eastAsia" w:ascii="宋体" w:hAnsi="宋体" w:eastAsia="宋体" w:cs="宋体"/>
                <w:sz w:val="21"/>
                <w:szCs w:val="21"/>
                <w:highlight w:val="none"/>
                <w:lang w:val="en-US" w:eastAsia="zh-CN" w:bidi="ar"/>
              </w:rPr>
              <w:t>质量</w:t>
            </w:r>
            <w:r>
              <w:rPr>
                <w:rFonts w:hint="eastAsia" w:ascii="宋体" w:hAnsi="宋体" w:eastAsia="宋体" w:cs="宋体"/>
                <w:sz w:val="21"/>
                <w:szCs w:val="21"/>
                <w:highlight w:val="none"/>
                <w:lang w:bidi="ar"/>
              </w:rPr>
              <w:t>检验</w:t>
            </w:r>
            <w:r>
              <w:rPr>
                <w:rFonts w:hint="eastAsia" w:ascii="宋体" w:hAnsi="宋体" w:eastAsia="宋体" w:cs="宋体"/>
                <w:sz w:val="21"/>
                <w:szCs w:val="21"/>
                <w:highlight w:val="none"/>
                <w:lang w:val="en-US" w:eastAsia="zh-CN" w:bidi="ar"/>
              </w:rPr>
              <w:t>标准</w:t>
            </w:r>
            <w:r>
              <w:rPr>
                <w:rFonts w:hint="eastAsia" w:ascii="宋体" w:hAnsi="宋体" w:eastAsia="宋体" w:cs="宋体"/>
                <w:sz w:val="21"/>
                <w:szCs w:val="21"/>
                <w:highlight w:val="none"/>
                <w:lang w:bidi="ar"/>
              </w:rPr>
              <w:t>等作业文件。</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查：《文件发放/回收记录》，抽查文件发放情况，有收文、发文的确认签字，符合文件发放规定。</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查：《外来文件清单》、《法律法规与其他要求一览表》，内容有国家和地方与质量、环境和职业健康安全管理体系相关适用法律法规。</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文件资料基本满足岗位工作需要，并为现行有效版本。</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查文件的评审及更新：根据文审要求修订了管理手册，重新审批。</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查文件的作废：管理手册修订后原文件已销毁处理。</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文件按需求和公司管理规定发放至有关部门和人员，查有发放记录，符合。</w:t>
            </w:r>
          </w:p>
          <w:p>
            <w:pPr>
              <w:tabs>
                <w:tab w:val="center" w:pos="3169"/>
              </w:tabs>
              <w:spacing w:line="400" w:lineRule="exact"/>
              <w:ind w:firstLine="210" w:firstLineChars="100"/>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口头提出待改进项目：未对电子文档的安全性管理做出明确规定。</w:t>
            </w:r>
          </w:p>
          <w:p>
            <w:pPr>
              <w:keepNext w:val="0"/>
              <w:keepLines w:val="0"/>
              <w:pageBreakBefore w:val="0"/>
              <w:widowControl w:val="0"/>
              <w:tabs>
                <w:tab w:val="center" w:pos="3169"/>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 </w:t>
            </w:r>
            <w:r>
              <w:rPr>
                <w:rFonts w:hint="eastAsia" w:ascii="宋体" w:hAnsi="宋体" w:eastAsia="宋体" w:cs="宋体"/>
                <w:sz w:val="21"/>
                <w:szCs w:val="21"/>
                <w:highlight w:val="none"/>
                <w:lang w:val="en-US" w:eastAsia="zh-CN" w:bidi="ar"/>
              </w:rPr>
              <w:t xml:space="preserve">   </w:t>
            </w:r>
            <w:r>
              <w:rPr>
                <w:rFonts w:hint="eastAsia" w:ascii="宋体" w:hAnsi="宋体" w:eastAsia="宋体" w:cs="宋体"/>
                <w:sz w:val="21"/>
                <w:szCs w:val="21"/>
                <w:highlight w:val="none"/>
              </w:rPr>
              <w:t>◆编制</w:t>
            </w:r>
            <w:r>
              <w:rPr>
                <w:rFonts w:hint="eastAsia" w:ascii="宋体" w:hAnsi="宋体" w:eastAsia="宋体" w:cs="宋体"/>
                <w:sz w:val="21"/>
                <w:szCs w:val="21"/>
                <w:highlight w:val="none"/>
                <w:lang w:val="en-US" w:eastAsia="zh-CN"/>
              </w:rPr>
              <w:t>并发布</w:t>
            </w:r>
            <w:r>
              <w:rPr>
                <w:rFonts w:hint="eastAsia" w:ascii="宋体" w:hAnsi="宋体" w:eastAsia="宋体" w:cs="宋体"/>
                <w:sz w:val="21"/>
                <w:szCs w:val="21"/>
                <w:highlight w:val="none"/>
                <w:lang w:bidi="ar"/>
              </w:rPr>
              <w:t>了《记录控制程序》，对记录表单的设计、编号、填写、保管、保护、检索、保存期限、到期处置等方面规定了要求。</w:t>
            </w:r>
          </w:p>
          <w:p>
            <w:pPr>
              <w:keepNext w:val="0"/>
              <w:keepLines w:val="0"/>
              <w:pageBreakBefore w:val="0"/>
              <w:widowControl w:val="0"/>
              <w:tabs>
                <w:tab w:val="center" w:pos="3169"/>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查</w:t>
            </w:r>
            <w:r>
              <w:rPr>
                <w:rFonts w:hint="eastAsia" w:ascii="宋体" w:hAnsi="宋体" w:eastAsia="宋体" w:cs="宋体"/>
                <w:sz w:val="21"/>
                <w:szCs w:val="21"/>
                <w:highlight w:val="none"/>
                <w:lang w:bidi="ar"/>
              </w:rPr>
              <w:t>《记录清单》，规定了记录的名称、编号、责任部门、保存期限等内容。</w:t>
            </w:r>
            <w:r>
              <w:rPr>
                <w:rFonts w:hint="eastAsia" w:ascii="宋体" w:hAnsi="宋体" w:eastAsia="宋体" w:cs="宋体"/>
                <w:sz w:val="21"/>
                <w:szCs w:val="21"/>
                <w:highlight w:val="none"/>
                <w:lang w:val="en-US" w:eastAsia="zh-CN" w:bidi="ar"/>
              </w:rPr>
              <w:t>基本合理。</w:t>
            </w:r>
          </w:p>
          <w:p>
            <w:pPr>
              <w:keepNext w:val="0"/>
              <w:keepLines w:val="0"/>
              <w:pageBreakBefore w:val="0"/>
              <w:widowControl w:val="0"/>
              <w:tabs>
                <w:tab w:val="center" w:pos="3169"/>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bidi="ar"/>
              </w:rPr>
              <w:t>办公室主要负责</w:t>
            </w:r>
            <w:r>
              <w:rPr>
                <w:rFonts w:hint="eastAsia" w:ascii="宋体" w:hAnsi="宋体" w:eastAsia="宋体" w:cs="宋体"/>
                <w:sz w:val="21"/>
                <w:szCs w:val="21"/>
                <w:highlight w:val="none"/>
                <w:lang w:val="en-US" w:eastAsia="zh-CN" w:bidi="ar"/>
              </w:rPr>
              <w:t>记录</w:t>
            </w:r>
            <w:r>
              <w:rPr>
                <w:rFonts w:hint="eastAsia" w:ascii="宋体" w:hAnsi="宋体" w:eastAsia="宋体" w:cs="宋体"/>
                <w:sz w:val="21"/>
                <w:szCs w:val="21"/>
                <w:highlight w:val="none"/>
                <w:lang w:bidi="ar"/>
              </w:rPr>
              <w:t>归档</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保管</w:t>
            </w:r>
            <w:r>
              <w:rPr>
                <w:rFonts w:hint="eastAsia" w:ascii="宋体" w:hAnsi="宋体" w:eastAsia="宋体" w:cs="宋体"/>
                <w:sz w:val="21"/>
                <w:szCs w:val="21"/>
                <w:highlight w:val="none"/>
                <w:lang w:eastAsia="zh-CN" w:bidi="ar"/>
              </w:rPr>
              <w:t>。</w:t>
            </w:r>
          </w:p>
          <w:p>
            <w:pPr>
              <w:keepNext w:val="0"/>
              <w:keepLines w:val="0"/>
              <w:pageBreakBefore w:val="0"/>
              <w:widowControl w:val="0"/>
              <w:tabs>
                <w:tab w:val="center" w:pos="3169"/>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val="en-US" w:eastAsia="zh-CN" w:bidi="ar"/>
              </w:rPr>
              <w:t>抽查</w:t>
            </w:r>
            <w:r>
              <w:rPr>
                <w:rFonts w:hint="eastAsia" w:ascii="宋体" w:hAnsi="宋体" w:eastAsia="宋体" w:cs="宋体"/>
                <w:sz w:val="21"/>
                <w:szCs w:val="21"/>
                <w:highlight w:val="none"/>
                <w:lang w:bidi="ar"/>
              </w:rPr>
              <w:t>保管的记录：法律法规与其他要求一览表、组织知识管理清单、培训记录、</w:t>
            </w:r>
            <w:r>
              <w:rPr>
                <w:rFonts w:hint="eastAsia" w:ascii="宋体" w:hAnsi="宋体" w:eastAsia="宋体" w:cs="宋体"/>
                <w:sz w:val="21"/>
                <w:szCs w:val="21"/>
                <w:highlight w:val="none"/>
                <w:lang w:val="en-US" w:eastAsia="zh-CN" w:bidi="ar"/>
              </w:rPr>
              <w:t>内审计划</w:t>
            </w:r>
            <w:r>
              <w:rPr>
                <w:rFonts w:hint="eastAsia" w:ascii="宋体" w:hAnsi="宋体" w:eastAsia="宋体" w:cs="宋体"/>
                <w:sz w:val="21"/>
                <w:szCs w:val="21"/>
                <w:highlight w:val="none"/>
                <w:lang w:bidi="ar"/>
              </w:rPr>
              <w:t>、管理评审报告</w:t>
            </w:r>
            <w:r>
              <w:rPr>
                <w:rFonts w:hint="eastAsia" w:ascii="宋体" w:hAnsi="宋体" w:eastAsia="宋体" w:cs="宋体"/>
                <w:sz w:val="21"/>
                <w:szCs w:val="21"/>
                <w:highlight w:val="none"/>
                <w:lang w:val="en-US" w:eastAsia="zh-CN" w:bidi="ar"/>
              </w:rPr>
              <w:t>等等，均能按</w:t>
            </w:r>
            <w:r>
              <w:rPr>
                <w:rFonts w:hint="eastAsia" w:ascii="宋体" w:hAnsi="宋体" w:eastAsia="宋体" w:cs="宋体"/>
                <w:sz w:val="21"/>
                <w:szCs w:val="21"/>
                <w:highlight w:val="none"/>
                <w:lang w:bidi="ar"/>
              </w:rPr>
              <w:t>要求进行管理，记录保存完整，填写清晰、工整。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bidi="ar"/>
              </w:rPr>
              <w:t>上述</w:t>
            </w:r>
            <w:r>
              <w:rPr>
                <w:rFonts w:hint="eastAsia" w:ascii="宋体" w:hAnsi="宋体" w:eastAsia="宋体" w:cs="宋体"/>
                <w:sz w:val="21"/>
                <w:szCs w:val="21"/>
                <w:highlight w:val="none"/>
                <w:lang w:bidi="ar"/>
              </w:rPr>
              <w:t>记录控制</w:t>
            </w:r>
            <w:r>
              <w:rPr>
                <w:rFonts w:hint="eastAsia" w:ascii="宋体" w:hAnsi="宋体" w:eastAsia="宋体" w:cs="宋体"/>
                <w:sz w:val="21"/>
                <w:szCs w:val="21"/>
                <w:highlight w:val="none"/>
                <w:lang w:val="en-US" w:eastAsia="zh-CN" w:bidi="ar"/>
              </w:rPr>
              <w:t>均</w:t>
            </w:r>
            <w:r>
              <w:rPr>
                <w:rFonts w:hint="eastAsia" w:ascii="宋体" w:hAnsi="宋体" w:eastAsia="宋体" w:cs="宋体"/>
                <w:sz w:val="21"/>
                <w:szCs w:val="21"/>
                <w:highlight w:val="none"/>
                <w:lang w:bidi="ar"/>
              </w:rPr>
              <w:t>符合要求。</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sz w:val="21"/>
                <w:szCs w:val="21"/>
                <w:highlight w:val="none"/>
              </w:rPr>
              <w:t>法律法规及其他要求</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6.1.</w:t>
            </w:r>
            <w:r>
              <w:rPr>
                <w:rFonts w:hint="eastAsia" w:ascii="宋体" w:hAnsi="宋体" w:cs="宋体"/>
                <w:b w:val="0"/>
                <w:bCs/>
                <w:color w:val="auto"/>
                <w:sz w:val="21"/>
                <w:szCs w:val="21"/>
                <w:lang w:val="en-US" w:eastAsia="zh-CN"/>
              </w:rPr>
              <w:t>3</w:t>
            </w:r>
          </w:p>
        </w:tc>
        <w:tc>
          <w:tcPr>
            <w:tcW w:w="1225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公司</w:t>
            </w:r>
            <w:r>
              <w:rPr>
                <w:rFonts w:hint="eastAsia" w:ascii="宋体" w:hAnsi="宋体" w:eastAsia="宋体" w:cs="宋体"/>
                <w:sz w:val="21"/>
                <w:szCs w:val="21"/>
                <w:highlight w:val="none"/>
              </w:rPr>
              <w:t>编制了《法律法规及其他要求控制程序》，规定法律、法规及其他要求的范围、获取方法、确认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执行策划及</w:t>
            </w:r>
            <w:r>
              <w:rPr>
                <w:rFonts w:hint="eastAsia" w:ascii="宋体" w:hAnsi="宋体" w:eastAsia="宋体" w:cs="宋体"/>
                <w:sz w:val="21"/>
                <w:szCs w:val="21"/>
                <w:highlight w:val="none"/>
              </w:rPr>
              <w:t>分发。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办公室</w:t>
            </w:r>
            <w:r>
              <w:rPr>
                <w:rFonts w:hint="eastAsia" w:ascii="宋体" w:hAnsi="宋体" w:eastAsia="宋体" w:cs="宋体"/>
                <w:sz w:val="21"/>
                <w:szCs w:val="21"/>
                <w:highlight w:val="none"/>
              </w:rPr>
              <w:t>负责适用的法律法规的识别、获取和更新，并评价其适用性</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提供公司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适用的法律法规及其他要求清单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内容包括</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eastAsia="zh-CN"/>
              </w:rPr>
              <w:t>中华人民共和国劳动法、中华人民共和国劳动合同法、中华人民共和国合同法、</w:t>
            </w:r>
            <w:r>
              <w:rPr>
                <w:rFonts w:hint="eastAsia" w:ascii="宋体" w:hAnsi="宋体" w:eastAsia="宋体" w:cs="宋体"/>
                <w:sz w:val="21"/>
                <w:szCs w:val="21"/>
                <w:highlight w:val="none"/>
              </w:rPr>
              <w:t>环境保护法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消防法、</w:t>
            </w:r>
            <w:r>
              <w:rPr>
                <w:rFonts w:hint="eastAsia" w:ascii="宋体" w:hAnsi="宋体" w:eastAsia="宋体" w:cs="宋体"/>
                <w:color w:val="auto"/>
                <w:sz w:val="21"/>
                <w:szCs w:val="21"/>
                <w:highlight w:val="none"/>
                <w:lang w:eastAsia="zh-CN"/>
              </w:rPr>
              <w:t>工伤保险条例</w:t>
            </w:r>
            <w:r>
              <w:rPr>
                <w:rFonts w:hint="eastAsia" w:ascii="宋体" w:hAnsi="宋体" w:eastAsia="宋体" w:cs="宋体"/>
                <w:sz w:val="21"/>
                <w:szCs w:val="21"/>
                <w:highlight w:val="none"/>
              </w:rPr>
              <w:t>、劳动保护用品管理规定等</w:t>
            </w:r>
            <w:r>
              <w:rPr>
                <w:rFonts w:hint="eastAsia" w:ascii="宋体" w:hAnsi="宋体" w:eastAsia="宋体" w:cs="宋体"/>
                <w:sz w:val="21"/>
                <w:szCs w:val="21"/>
                <w:highlight w:val="none"/>
                <w:lang w:val="en-US" w:eastAsia="zh-CN"/>
              </w:rPr>
              <w:t>等共45项</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适用的法律法规及其他要求清单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办公室</w:t>
            </w:r>
            <w:r>
              <w:rPr>
                <w:rFonts w:hint="eastAsia" w:ascii="宋体" w:hAnsi="宋体" w:eastAsia="宋体" w:cs="宋体"/>
                <w:sz w:val="21"/>
                <w:szCs w:val="21"/>
                <w:highlight w:val="none"/>
              </w:rPr>
              <w:t>存档一份，并</w:t>
            </w:r>
            <w:r>
              <w:rPr>
                <w:rFonts w:hint="eastAsia" w:ascii="宋体" w:hAnsi="宋体" w:eastAsia="宋体" w:cs="宋体"/>
                <w:sz w:val="21"/>
                <w:szCs w:val="21"/>
                <w:highlight w:val="none"/>
                <w:lang w:val="en-US" w:eastAsia="zh-CN"/>
              </w:rPr>
              <w:t>以</w:t>
            </w:r>
            <w:r>
              <w:rPr>
                <w:rFonts w:hint="eastAsia" w:ascii="宋体" w:hAnsi="宋体" w:eastAsia="宋体" w:cs="宋体"/>
                <w:sz w:val="21"/>
                <w:szCs w:val="21"/>
                <w:highlight w:val="none"/>
              </w:rPr>
              <w:t>电子版的形式发到各部门电脑上。定期在网上查看法规的更新情况，目前均为最新版本。满足体系运行需要。</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清单明确了法律法规及其他要求对公司环境因素、危险源的应用，明确了相应的适用条款。</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sz w:val="21"/>
                <w:szCs w:val="21"/>
                <w:highlight w:val="none"/>
              </w:rPr>
              <w:t>应急准备和响应</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S8.2</w:t>
            </w:r>
          </w:p>
        </w:tc>
        <w:tc>
          <w:tcPr>
            <w:tcW w:w="12250" w:type="dxa"/>
          </w:tcPr>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编制了《应急准备和响应控制程序》，确定的紧急情况有：火灾、触电、机械伤害，提供了紧急情况的《应急预案》，包括安全生产事故应急救援预案、触电应急预案、火灾爆炸应急救援预案、机械伤害应急预案、防疫应急预案等。</w:t>
            </w:r>
          </w:p>
          <w:p>
            <w:pPr>
              <w:autoSpaceDE w:val="0"/>
              <w:autoSpaceDN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月1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日的火灾消防演习通知和演习评审记录，记录了演练过程，演练后对应急预案进行了总结：演习结束后，公司主管负责人、应急小组成员进行了演习总结。对这次演习给予了充分肯定，对队员们忘我的精神进行了表扬，大家一致认为，通过演习既锻炼了队伍，又检验应急反应能力，提高了广大职工的消防意识和素质，为今后消防工作打下了很好的基础，为安全生产提供了可靠的保证。本次演习了取得圆满成功。记录人：</w:t>
            </w:r>
            <w:r>
              <w:rPr>
                <w:rFonts w:hint="eastAsia" w:ascii="宋体" w:hAnsi="宋体" w:eastAsia="宋体" w:cs="宋体"/>
                <w:sz w:val="21"/>
                <w:szCs w:val="21"/>
                <w:highlight w:val="none"/>
                <w:lang w:val="en-US" w:eastAsia="zh-CN"/>
              </w:rPr>
              <w:t>朱瑞冰</w:t>
            </w:r>
            <w:r>
              <w:rPr>
                <w:rFonts w:hint="eastAsia" w:ascii="宋体" w:hAnsi="宋体" w:eastAsia="宋体" w:cs="宋体"/>
                <w:sz w:val="21"/>
                <w:szCs w:val="21"/>
                <w:highlight w:val="none"/>
              </w:rPr>
              <w:t xml:space="preserve">   日期：2020.0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现场查看办公区域内配备</w:t>
            </w:r>
            <w:r>
              <w:rPr>
                <w:rFonts w:hint="eastAsia" w:ascii="宋体" w:hAnsi="宋体" w:eastAsia="宋体" w:cs="宋体"/>
                <w:sz w:val="21"/>
                <w:szCs w:val="21"/>
                <w:highlight w:val="none"/>
                <w:lang w:val="en-US" w:eastAsia="zh-CN"/>
              </w:rPr>
              <w:t>的若干具8kg干粉灭火器</w:t>
            </w:r>
            <w:r>
              <w:rPr>
                <w:rFonts w:hint="eastAsia" w:ascii="宋体" w:hAnsi="宋体" w:eastAsia="宋体" w:cs="宋体"/>
                <w:sz w:val="21"/>
                <w:szCs w:val="21"/>
                <w:highlight w:val="none"/>
              </w:rPr>
              <w:t>，状态有效。</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自体系运行以来尚未发生紧急情况。</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val="en-US" w:eastAsia="zh-CN"/>
              </w:rPr>
            </w:pPr>
            <w:r>
              <w:rPr>
                <w:rFonts w:hint="eastAsia"/>
                <w:sz w:val="21"/>
                <w:szCs w:val="21"/>
                <w:lang w:val="en-US" w:eastAsia="zh-CN"/>
              </w:rPr>
              <w:t>内审</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1"/>
                <w:szCs w:val="21"/>
                <w:lang w:val="en-US"/>
              </w:rPr>
            </w:pPr>
            <w:r>
              <w:rPr>
                <w:rFonts w:hint="eastAsia" w:ascii="宋体" w:hAnsi="宋体" w:cs="宋体"/>
                <w:b w:val="0"/>
                <w:bCs/>
                <w:color w:val="auto"/>
                <w:sz w:val="21"/>
                <w:szCs w:val="21"/>
                <w:lang w:val="en-US" w:eastAsia="zh-CN"/>
              </w:rPr>
              <w:t>QS9.2</w:t>
            </w:r>
          </w:p>
        </w:tc>
        <w:tc>
          <w:tcPr>
            <w:tcW w:w="1225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《内部审核程序》，对内部审核方案策划规定：内审每年进行一次，按部门审核。管代介绍内审的安排和做法，与程序文件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相符。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查内审计划，涉及了所有部门及相关过程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计划编制合理，条款无</w:t>
            </w:r>
            <w:r>
              <w:rPr>
                <w:rFonts w:hint="eastAsia" w:ascii="宋体" w:hAnsi="宋体" w:eastAsia="宋体" w:cs="宋体"/>
                <w:color w:val="auto"/>
                <w:sz w:val="21"/>
                <w:szCs w:val="21"/>
                <w:highlight w:val="none"/>
                <w:lang w:val="en-US" w:eastAsia="zh-CN"/>
              </w:rPr>
              <w:t>遗漏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审核活动共提出</w:t>
            </w:r>
            <w:r>
              <w:rPr>
                <w:rFonts w:hint="eastAsia" w:ascii="宋体" w:hAnsi="宋体" w:eastAsia="宋体" w:cs="宋体"/>
                <w:color w:val="auto"/>
                <w:sz w:val="21"/>
                <w:szCs w:val="21"/>
                <w:highlight w:val="none"/>
                <w:lang w:val="en-US" w:eastAsia="zh-CN"/>
              </w:rPr>
              <w:t>涉及GB/T24001-2016标准1</w:t>
            </w:r>
            <w:r>
              <w:rPr>
                <w:rFonts w:hint="eastAsia" w:ascii="宋体" w:hAnsi="宋体" w:eastAsia="宋体" w:cs="宋体"/>
                <w:color w:val="auto"/>
                <w:sz w:val="21"/>
                <w:szCs w:val="21"/>
                <w:highlight w:val="none"/>
              </w:rPr>
              <w:t>个不符合项，</w:t>
            </w:r>
            <w:r>
              <w:rPr>
                <w:rFonts w:hint="eastAsia" w:ascii="宋体" w:hAnsi="宋体" w:eastAsia="宋体" w:cs="宋体"/>
                <w:color w:val="auto"/>
                <w:sz w:val="21"/>
                <w:szCs w:val="21"/>
                <w:highlight w:val="none"/>
                <w:lang w:val="en-US" w:eastAsia="zh-CN"/>
              </w:rPr>
              <w:t>责任单位为</w:t>
            </w:r>
            <w:r>
              <w:rPr>
                <w:rFonts w:hint="eastAsia" w:ascii="宋体" w:hAnsi="宋体" w:eastAsia="宋体" w:cs="宋体"/>
                <w:color w:val="auto"/>
                <w:sz w:val="21"/>
                <w:szCs w:val="21"/>
                <w:highlight w:val="none"/>
              </w:rPr>
              <w:t>生产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涉及条款</w:t>
            </w:r>
            <w:r>
              <w:rPr>
                <w:rFonts w:hint="eastAsia" w:ascii="宋体" w:hAnsi="宋体" w:eastAsia="宋体" w:cs="宋体"/>
                <w:color w:val="auto"/>
                <w:sz w:val="21"/>
                <w:szCs w:val="21"/>
                <w:highlight w:val="none"/>
                <w:lang w:val="en-US" w:eastAsia="zh-CN"/>
              </w:rPr>
              <w:t>为8.1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查内审报告：对体系文件和对体系的运作的符合性和有效性进行了评价，结论为：本公司管理体系基本符合ISO 9001：2015、ISO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001：2015、ISO45001：2018的要求，方针是适宜的，符合标准要求和法律法规要求，公司管理体系得到了有效实施，运行是有效的。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 w:val="21"/>
                <w:szCs w:val="21"/>
                <w:lang w:val="en-US" w:eastAsia="zh-CN"/>
              </w:rPr>
            </w:pPr>
            <w:r>
              <w:rPr>
                <w:rFonts w:hint="eastAsia" w:ascii="宋体" w:hAnsi="宋体" w:eastAsia="宋体" w:cs="宋体"/>
                <w:color w:val="auto"/>
                <w:sz w:val="21"/>
                <w:szCs w:val="21"/>
                <w:highlight w:val="none"/>
              </w:rPr>
              <w:t>审核记录</w:t>
            </w:r>
            <w:r>
              <w:rPr>
                <w:rFonts w:hint="eastAsia" w:ascii="宋体" w:hAnsi="宋体" w:eastAsia="宋体" w:cs="宋体"/>
                <w:color w:val="auto"/>
                <w:sz w:val="21"/>
                <w:szCs w:val="21"/>
                <w:highlight w:val="none"/>
                <w:lang w:val="en-US" w:eastAsia="zh-CN"/>
              </w:rPr>
              <w:t>是否符合要求、</w:t>
            </w:r>
            <w:r>
              <w:rPr>
                <w:rFonts w:hint="eastAsia" w:ascii="宋体" w:hAnsi="宋体" w:eastAsia="宋体" w:cs="宋体"/>
                <w:color w:val="auto"/>
                <w:sz w:val="21"/>
                <w:szCs w:val="21"/>
                <w:highlight w:val="none"/>
              </w:rPr>
              <w:t>不符合项</w:t>
            </w:r>
            <w:r>
              <w:rPr>
                <w:rFonts w:hint="eastAsia" w:ascii="宋体" w:hAnsi="宋体" w:eastAsia="宋体" w:cs="宋体"/>
                <w:color w:val="auto"/>
                <w:sz w:val="21"/>
                <w:szCs w:val="21"/>
                <w:highlight w:val="none"/>
                <w:lang w:val="en-US" w:eastAsia="zh-CN"/>
              </w:rPr>
              <w:t>整改的有效期如何等细节，有待二阶段审核关注。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p>
      <w:pPr>
        <w:pStyle w:val="2"/>
      </w:pPr>
    </w:p>
    <w:tbl>
      <w:tblPr>
        <w:tblStyle w:val="11"/>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59"/>
        <w:gridCol w:w="12250"/>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1"/>
                <w:szCs w:val="21"/>
              </w:rPr>
            </w:pPr>
            <w:r>
              <w:rPr>
                <w:rFonts w:hint="eastAsia"/>
                <w:sz w:val="21"/>
                <w:szCs w:val="21"/>
              </w:rPr>
              <w:t>抽样计划</w:t>
            </w:r>
          </w:p>
        </w:tc>
        <w:tc>
          <w:tcPr>
            <w:tcW w:w="7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条款</w:t>
            </w: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采购部           </w:t>
            </w:r>
            <w:r>
              <w:rPr>
                <w:rFonts w:hint="eastAsia"/>
                <w:sz w:val="21"/>
                <w:szCs w:val="21"/>
              </w:rPr>
              <w:t>主管领导</w:t>
            </w:r>
            <w:r>
              <w:rPr>
                <w:rFonts w:hint="eastAsia"/>
                <w:sz w:val="21"/>
                <w:szCs w:val="21"/>
                <w:lang w:eastAsia="zh-CN"/>
              </w:rPr>
              <w:t>：</w:t>
            </w:r>
            <w:r>
              <w:rPr>
                <w:rFonts w:hint="eastAsia" w:ascii="宋体" w:hAnsi="宋体" w:cs="宋体"/>
                <w:color w:val="auto"/>
                <w:sz w:val="21"/>
                <w:szCs w:val="21"/>
                <w:highlight w:val="none"/>
                <w:lang w:val="en-US" w:eastAsia="zh-CN"/>
              </w:rPr>
              <w:t>汪红彩</w:t>
            </w:r>
            <w:r>
              <w:rPr>
                <w:rFonts w:hint="eastAsia" w:ascii="宋体" w:hAnsi="宋体" w:eastAsia="宋体" w:cs="宋体"/>
                <w:color w:val="auto"/>
                <w:sz w:val="21"/>
                <w:szCs w:val="21"/>
                <w:highlight w:val="none"/>
              </w:rPr>
              <w:t xml:space="preserve"> </w:t>
            </w:r>
          </w:p>
        </w:tc>
        <w:tc>
          <w:tcPr>
            <w:tcW w:w="3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default"/>
                <w:sz w:val="21"/>
                <w:szCs w:val="21"/>
                <w:lang w:val="en-US"/>
              </w:rPr>
            </w:pPr>
            <w:r>
              <w:rPr>
                <w:rFonts w:hint="eastAsia"/>
                <w:sz w:val="21"/>
                <w:szCs w:val="21"/>
              </w:rPr>
              <w:t>审核员：</w:t>
            </w:r>
            <w:r>
              <w:rPr>
                <w:rFonts w:hint="eastAsia"/>
                <w:sz w:val="21"/>
                <w:szCs w:val="21"/>
                <w:lang w:val="en-US" w:eastAsia="zh-CN"/>
              </w:rPr>
              <w:t xml:space="preserve">刘玉兰     </w:t>
            </w:r>
            <w:r>
              <w:rPr>
                <w:rFonts w:hint="eastAsia"/>
                <w:sz w:val="21"/>
                <w:szCs w:val="21"/>
              </w:rPr>
              <w:t>审核时间：</w:t>
            </w:r>
            <w:r>
              <w:rPr>
                <w:rFonts w:hint="eastAsia"/>
                <w:sz w:val="21"/>
                <w:szCs w:val="21"/>
                <w:lang w:eastAsia="zh-CN"/>
              </w:rPr>
              <w:t>2021-5-</w:t>
            </w:r>
            <w:r>
              <w:rPr>
                <w:rFonts w:hint="eastAsia"/>
                <w:sz w:val="21"/>
                <w:szCs w:val="21"/>
                <w:lang w:val="en-US" w:eastAsia="zh-CN"/>
              </w:rPr>
              <w:t>18</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7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c>
          <w:tcPr>
            <w:tcW w:w="1225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审核条款：</w:t>
            </w:r>
            <w:r>
              <w:rPr>
                <w:rFonts w:hint="eastAsia" w:ascii="宋体" w:hAnsi="宋体" w:eastAsia="宋体" w:cs="宋体"/>
                <w:b w:val="0"/>
                <w:bCs/>
                <w:color w:val="auto"/>
                <w:sz w:val="21"/>
                <w:szCs w:val="21"/>
                <w:lang w:val="en-US" w:eastAsia="zh-CN"/>
              </w:rPr>
              <w:t>QS6.2</w:t>
            </w:r>
            <w:r>
              <w:rPr>
                <w:rFonts w:hint="eastAsia" w:ascii="宋体" w:hAnsi="宋体" w:eastAsia="宋体" w:cs="宋体"/>
                <w:b w:val="0"/>
                <w:bCs/>
                <w:color w:val="0000FF"/>
                <w:sz w:val="21"/>
                <w:szCs w:val="21"/>
                <w:lang w:val="en-US" w:eastAsia="zh-CN"/>
              </w:rPr>
              <w:t>；</w:t>
            </w:r>
            <w:r>
              <w:rPr>
                <w:rFonts w:hint="eastAsia"/>
                <w:lang w:val="en-US" w:eastAsia="zh-CN"/>
              </w:rPr>
              <w:t>S6.1.2</w:t>
            </w:r>
            <w:r>
              <w:rPr>
                <w:rFonts w:hint="eastAsia"/>
                <w:lang w:eastAsia="zh-CN"/>
              </w:rPr>
              <w:t>；</w:t>
            </w:r>
            <w:r>
              <w:rPr>
                <w:rFonts w:hint="eastAsia" w:ascii="宋体" w:hAnsi="宋体" w:eastAsia="宋体" w:cs="宋体"/>
                <w:b w:val="0"/>
                <w:bCs/>
                <w:color w:val="auto"/>
                <w:sz w:val="21"/>
                <w:szCs w:val="21"/>
                <w:lang w:val="en-US" w:eastAsia="zh-CN"/>
              </w:rPr>
              <w:t>Q</w:t>
            </w:r>
            <w:r>
              <w:rPr>
                <w:rFonts w:hint="eastAsia" w:ascii="宋体" w:hAnsi="宋体" w:eastAsia="宋体" w:cs="宋体"/>
                <w:b w:val="0"/>
                <w:bCs/>
                <w:color w:val="auto"/>
                <w:sz w:val="21"/>
                <w:szCs w:val="21"/>
              </w:rPr>
              <w:t>8.4</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lang w:val="en-US" w:eastAsia="zh-CN"/>
              </w:rPr>
              <w:t>Q</w:t>
            </w:r>
            <w:r>
              <w:rPr>
                <w:rFonts w:hint="eastAsia" w:ascii="宋体" w:hAnsi="宋体" w:eastAsia="宋体" w:cs="宋体"/>
                <w:b w:val="0"/>
                <w:bCs/>
                <w:color w:val="auto"/>
                <w:sz w:val="21"/>
                <w:szCs w:val="21"/>
              </w:rPr>
              <w:t>8.5.3</w:t>
            </w:r>
            <w:r>
              <w:rPr>
                <w:rFonts w:hint="eastAsia" w:ascii="宋体" w:hAnsi="宋体" w:cs="宋体"/>
                <w:b w:val="0"/>
                <w:bCs/>
                <w:color w:val="auto"/>
                <w:sz w:val="21"/>
                <w:szCs w:val="21"/>
                <w:lang w:eastAsia="zh-CN"/>
              </w:rPr>
              <w:t>。</w:t>
            </w:r>
          </w:p>
        </w:tc>
        <w:tc>
          <w:tcPr>
            <w:tcW w:w="36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rPr>
              <w:t>目标、指标和管理方案</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QS6.2</w:t>
            </w:r>
          </w:p>
        </w:tc>
        <w:tc>
          <w:tcPr>
            <w:tcW w:w="12250" w:type="dxa"/>
          </w:tcPr>
          <w:p>
            <w:pPr>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◆部门目标：                </w:t>
            </w:r>
            <w:r>
              <w:rPr>
                <w:rFonts w:hint="eastAsia" w:ascii="宋体" w:hAnsi="宋体" w:eastAsia="宋体" w:cs="宋体"/>
                <w:color w:val="auto"/>
                <w:sz w:val="21"/>
                <w:szCs w:val="21"/>
                <w:highlight w:val="none"/>
                <w:lang w:val="en-US" w:eastAsia="zh-CN"/>
              </w:rPr>
              <w:t xml:space="preserve">          </w:t>
            </w:r>
          </w:p>
          <w:p>
            <w:pPr>
              <w:keepLines w:val="0"/>
              <w:pageBreakBefore w:val="0"/>
              <w:numPr>
                <w:ilvl w:val="0"/>
                <w:numId w:val="1"/>
              </w:numPr>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采购物资合格率100%；</w:t>
            </w:r>
          </w:p>
          <w:p>
            <w:pPr>
              <w:keepLines w:val="0"/>
              <w:pageBreakBefore w:val="0"/>
              <w:numPr>
                <w:ilvl w:val="0"/>
                <w:numId w:val="1"/>
              </w:numPr>
              <w:kinsoku/>
              <w:wordWrap/>
              <w:overflowPunct/>
              <w:topLinePunct w:val="0"/>
              <w:autoSpaceDE/>
              <w:autoSpaceDN/>
              <w:bidi w:val="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采购物资及时率100%；</w:t>
            </w:r>
          </w:p>
          <w:p>
            <w:pPr>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抽管理方案，同办公室。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今年1~4月完成情况：均完成。</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1"/>
                <w:szCs w:val="21"/>
                <w:lang w:val="en-US" w:eastAsia="zh-CN"/>
              </w:rPr>
            </w:pPr>
            <w:r>
              <w:rPr>
                <w:rFonts w:hint="eastAsia" w:ascii="宋体" w:hAnsi="宋体" w:cs="宋体"/>
                <w:b w:val="0"/>
                <w:bCs/>
                <w:color w:val="auto"/>
                <w:sz w:val="21"/>
                <w:szCs w:val="21"/>
                <w:highlight w:val="none"/>
                <w:lang w:val="en-US" w:eastAsia="zh-CN"/>
              </w:rPr>
              <w:t>环境因素识别</w:t>
            </w:r>
            <w:r>
              <w:rPr>
                <w:rFonts w:hint="eastAsia" w:ascii="宋体" w:hAnsi="宋体" w:eastAsia="宋体" w:cs="宋体"/>
                <w:b w:val="0"/>
                <w:bCs/>
                <w:color w:val="auto"/>
                <w:sz w:val="21"/>
                <w:szCs w:val="21"/>
                <w:highlight w:val="none"/>
              </w:rPr>
              <w:t>和评价程序合理性</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rPr>
            </w:pPr>
            <w:r>
              <w:rPr>
                <w:rFonts w:hint="eastAsia" w:ascii="宋体" w:hAnsi="宋体" w:cs="宋体"/>
                <w:b w:val="0"/>
                <w:bCs/>
                <w:color w:val="auto"/>
                <w:sz w:val="21"/>
                <w:szCs w:val="21"/>
                <w:lang w:val="en-US" w:eastAsia="zh-CN"/>
              </w:rPr>
              <w:t>6.1.2</w:t>
            </w:r>
          </w:p>
        </w:tc>
        <w:tc>
          <w:tcPr>
            <w:tcW w:w="12250" w:type="dxa"/>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策划、编制了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环境因素识别</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lang w:eastAsia="zh-CN"/>
              </w:rPr>
              <w:t>风险评价控制程序》</w:t>
            </w:r>
            <w:r>
              <w:rPr>
                <w:rFonts w:hint="eastAsia" w:ascii="宋体" w:hAnsi="宋体" w:eastAsia="宋体" w:cs="宋体"/>
                <w:color w:val="auto"/>
                <w:sz w:val="21"/>
                <w:szCs w:val="21"/>
                <w:highlight w:val="none"/>
              </w:rPr>
              <w:t>，经文审符合标准要求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但评价准则在实际应用中太过繁复，可操作性不强，已提出改进建议。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该部门按程序要求开展了相关工作：</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1.按岗位开展环境因素识别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共环境因素6项，并汇总在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环境因素清单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中，包括：火灾、电的消耗；水的消耗；纸张的消耗；固废（布料的边角余料）外排、噪声外排等。</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2.应用头脑风暴法和经验法评价上述环境因素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结果为：</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1）重要环境因素3个——火灾、电的消耗、固废（布料的边角余料）外排。</w:t>
            </w:r>
          </w:p>
          <w:p>
            <w:pPr>
              <w:pStyle w:val="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2）一般环境因素3个——水的消耗、</w:t>
            </w:r>
            <w:r>
              <w:rPr>
                <w:rFonts w:hint="eastAsia" w:ascii="宋体" w:hAnsi="宋体" w:eastAsia="宋体" w:cs="宋体"/>
                <w:b w:val="0"/>
                <w:bCs/>
                <w:color w:val="auto"/>
                <w:sz w:val="21"/>
                <w:szCs w:val="21"/>
                <w:highlight w:val="none"/>
                <w:lang w:val="en-US" w:eastAsia="zh-CN"/>
              </w:rPr>
              <w:t>纸张的消耗、噪声外排</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3.针对每一个环境因素，均策划了控制措施。如：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1）火灾——作业区及仓库严禁吸烟；</w:t>
            </w:r>
            <w:r>
              <w:rPr>
                <w:rFonts w:hint="eastAsia" w:ascii="宋体" w:hAnsi="宋体" w:eastAsia="宋体" w:cs="宋体"/>
                <w:bCs/>
                <w:color w:val="auto"/>
                <w:sz w:val="21"/>
                <w:szCs w:val="21"/>
                <w:highlight w:val="none"/>
                <w:lang w:val="en-US" w:eastAsia="zh-CN"/>
              </w:rPr>
              <w:t>配备足够数量的灭火器，且保证其合格</w:t>
            </w:r>
            <w:r>
              <w:rPr>
                <w:rFonts w:hint="eastAsia" w:ascii="宋体" w:hAnsi="宋体" w:eastAsia="宋体" w:cs="宋体"/>
                <w:b w:val="0"/>
                <w:bCs/>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2）电的消耗——倡导职工节约用电，发现浪费行为及时制止；合理安排工序人数，缩短缩短高耗电工序的作业时间，在保证生产的前提下尽量节约用电，如压衬工序。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3）固废（布料的边角余料）处置——制定制度，每天清理并集中，然后倒入市政生活垃圾箱。</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4）纸张的消耗——倡导职工节约用纸，发现浪费行为及时制止；只要可能，打印纸必须两面使用。</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5）噪声外排——定期保养设备，并按规程操作设备，避免产生异常噪声。</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◆公司制定并实施了《</w:t>
            </w:r>
            <w:r>
              <w:rPr>
                <w:rFonts w:hint="eastAsia" w:ascii="宋体" w:hAnsi="宋体" w:eastAsia="宋体" w:cs="宋体"/>
                <w:color w:val="auto"/>
                <w:sz w:val="21"/>
                <w:szCs w:val="21"/>
                <w:highlight w:val="none"/>
                <w:lang w:val="en-US" w:eastAsia="zh-CN"/>
              </w:rPr>
              <w:t>节水节电管理制度</w:t>
            </w:r>
            <w:r>
              <w:rPr>
                <w:rFonts w:hint="eastAsia" w:ascii="宋体" w:hAnsi="宋体" w:eastAsia="宋体" w:cs="宋体"/>
                <w:color w:val="auto"/>
                <w:sz w:val="21"/>
                <w:szCs w:val="21"/>
                <w:highlight w:val="none"/>
              </w:rPr>
              <w:t>》、《消防安全管理制度》、《应急</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控制程序》等</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上述识别的内容是否全面、评价是否准确、控制措施及相关制度是否落实、是否有效等细节，有待二阶段审核关注。</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bidi="ar"/>
              </w:rPr>
              <w:t>外部供方的控制</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Q</w:t>
            </w:r>
            <w:r>
              <w:rPr>
                <w:rFonts w:hint="eastAsia" w:ascii="宋体" w:hAnsi="宋体" w:eastAsia="宋体" w:cs="宋体"/>
                <w:b w:val="0"/>
                <w:bCs/>
                <w:color w:val="auto"/>
                <w:sz w:val="21"/>
                <w:szCs w:val="21"/>
              </w:rPr>
              <w:t>8.4</w:t>
            </w:r>
          </w:p>
        </w:tc>
        <w:tc>
          <w:tcPr>
            <w:tcW w:w="12250"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◆根据采购产品对公司最终产品的影响程度，制定有《物资采购控制程序》，并按要求对采购过程进行了控制。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采购物资主要包括：</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服装原材料（布、里子、衬、线、扣、拉链、垫肩、袋子、腰里、兜布）；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服装标志服饰（春肩板、夏肩板、布号、布徽、臂章、套肩、领花、铁号、铁徽）等等。</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◆合格供方评价：</w:t>
            </w:r>
          </w:p>
          <w:p>
            <w:pPr>
              <w:pStyle w:val="2"/>
              <w:keepNext w:val="0"/>
              <w:keepLines w:val="0"/>
              <w:pageBreakBefore w:val="0"/>
              <w:widowControl w:val="0"/>
              <w:kinsoku/>
              <w:wordWrap/>
              <w:overflowPunct/>
              <w:topLinePunct w:val="0"/>
              <w:autoSpaceDE/>
              <w:autoSpaceDN/>
              <w:bidi w:val="0"/>
              <w:spacing w:line="360" w:lineRule="auto"/>
              <w:ind w:firstLine="4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制定了《合格供方评价及重新评价准则》，评价内容：企业资质、供货能力、产品质量、交货期、价格、售后服务等。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查《合格供方名录》：共8家，如：中山衣梭公司。</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查对供方的评价记录，对全部8家供方进行了评价，评价结果为：均合格，继续纳入合格供方。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评价人：汪红彩、李志敏。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上述供方的评价过程，符合相关规定。</w:t>
            </w:r>
          </w:p>
          <w:p>
            <w:pPr>
              <w:keepLines w:val="0"/>
              <w:pageBreakBefore w:val="0"/>
              <w:kinsoku/>
              <w:wordWrap/>
              <w:overflowPunct/>
              <w:topLinePunct w:val="0"/>
              <w:autoSpaceDE/>
              <w:autoSpaceDN/>
              <w:bidi w:val="0"/>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◆公司没有业务外包过程，只有上述的采购行为。</w:t>
            </w:r>
          </w:p>
          <w:p>
            <w:pPr>
              <w:pStyle w:val="2"/>
              <w:keepLines w:val="0"/>
              <w:pageBreakBefore w:val="0"/>
              <w:kinsoku/>
              <w:wordWrap/>
              <w:overflowPunct/>
              <w:topLinePunct w:val="0"/>
              <w:autoSpaceDE/>
              <w:autoSpaceDN/>
              <w:bidi w:val="0"/>
              <w:spacing w:line="360" w:lineRule="auto"/>
              <w:ind w:firstLine="46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◆提供给外部供方的信息：</w:t>
            </w:r>
          </w:p>
          <w:p>
            <w:pPr>
              <w:pStyle w:val="2"/>
              <w:keepLines w:val="0"/>
              <w:pageBreakBefore w:val="0"/>
              <w:kinsoku/>
              <w:wordWrap/>
              <w:overflowPunct/>
              <w:topLinePunct w:val="0"/>
              <w:autoSpaceDE/>
              <w:autoSpaceDN/>
              <w:bidi w:val="0"/>
              <w:spacing w:line="360" w:lineRule="auto"/>
              <w:ind w:firstLine="46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提供给外部供方的信息，均以采购合同的方式传递，所有采购合同均由总经理或副总经理审批后生效。部分合同如下：</w:t>
            </w: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inline distT="0" distB="0" distL="114300" distR="114300">
                  <wp:extent cx="7082790" cy="10253980"/>
                  <wp:effectExtent l="0" t="0" r="3810" b="7620"/>
                  <wp:docPr id="3" name="图片 1" descr="87061827146254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70618271462540187"/>
                          <pic:cNvPicPr>
                            <a:picLocks noChangeAspect="1"/>
                          </pic:cNvPicPr>
                        </pic:nvPicPr>
                        <pic:blipFill>
                          <a:blip r:embed="rId10"/>
                          <a:stretch>
                            <a:fillRect/>
                          </a:stretch>
                        </pic:blipFill>
                        <pic:spPr>
                          <a:xfrm>
                            <a:off x="0" y="0"/>
                            <a:ext cx="7082790" cy="10253980"/>
                          </a:xfrm>
                          <a:prstGeom prst="rect">
                            <a:avLst/>
                          </a:prstGeom>
                          <a:noFill/>
                          <a:ln>
                            <a:noFill/>
                          </a:ln>
                        </pic:spPr>
                      </pic:pic>
                    </a:graphicData>
                  </a:graphic>
                </wp:inline>
              </w:drawing>
            </w: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inline distT="0" distB="0" distL="114300" distR="114300">
                  <wp:extent cx="7075170" cy="10399395"/>
                  <wp:effectExtent l="0" t="0" r="11430" b="1905"/>
                  <wp:docPr id="2" name="图片 2" descr="34409109578144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4091095781446477"/>
                          <pic:cNvPicPr>
                            <a:picLocks noChangeAspect="1"/>
                          </pic:cNvPicPr>
                        </pic:nvPicPr>
                        <pic:blipFill>
                          <a:blip r:embed="rId11"/>
                          <a:stretch>
                            <a:fillRect/>
                          </a:stretch>
                        </pic:blipFill>
                        <pic:spPr>
                          <a:xfrm>
                            <a:off x="0" y="0"/>
                            <a:ext cx="7075170" cy="10399395"/>
                          </a:xfrm>
                          <a:prstGeom prst="rect">
                            <a:avLst/>
                          </a:prstGeom>
                          <a:noFill/>
                          <a:ln>
                            <a:noFill/>
                          </a:ln>
                        </pic:spPr>
                      </pic:pic>
                    </a:graphicData>
                  </a:graphic>
                </wp:inline>
              </w:drawing>
            </w: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p>
          <w:p>
            <w:pPr>
              <w:pStyle w:val="2"/>
              <w:keepLines w:val="0"/>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2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rPr>
              <w:t>顾客或外部供方财产</w:t>
            </w:r>
          </w:p>
        </w:tc>
        <w:tc>
          <w:tcPr>
            <w:tcW w:w="7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 w:val="21"/>
                <w:szCs w:val="21"/>
                <w:lang w:val="en-US" w:eastAsia="zh-CN"/>
              </w:rPr>
            </w:pPr>
            <w:r>
              <w:rPr>
                <w:rFonts w:hint="eastAsia" w:ascii="宋体" w:hAnsi="宋体" w:eastAsia="宋体" w:cs="宋体"/>
                <w:b w:val="0"/>
                <w:bCs/>
                <w:color w:val="auto"/>
                <w:sz w:val="21"/>
                <w:szCs w:val="21"/>
              </w:rPr>
              <w:t>8.5.3</w:t>
            </w:r>
          </w:p>
        </w:tc>
        <w:tc>
          <w:tcPr>
            <w:tcW w:w="1225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r>
              <w:rPr>
                <w:rFonts w:hint="eastAsia" w:ascii="宋体" w:hAnsi="宋体" w:eastAsia="宋体" w:cs="宋体"/>
                <w:b w:val="0"/>
                <w:bCs/>
                <w:color w:val="auto"/>
                <w:sz w:val="21"/>
                <w:szCs w:val="21"/>
              </w:rPr>
              <w:t>顾客或外部供方财产</w:t>
            </w:r>
            <w:r>
              <w:rPr>
                <w:rFonts w:hint="eastAsia" w:ascii="宋体" w:hAnsi="宋体" w:cs="宋体"/>
                <w:b w:val="0"/>
                <w:bCs/>
                <w:color w:val="auto"/>
                <w:sz w:val="21"/>
                <w:szCs w:val="21"/>
                <w:lang w:eastAsia="zh-CN"/>
              </w:rPr>
              <w:t>。</w:t>
            </w:r>
          </w:p>
        </w:tc>
        <w:tc>
          <w:tcPr>
            <w:tcW w:w="36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tc>
      </w:tr>
    </w:tbl>
    <w:p>
      <w:pPr>
        <w:pStyle w:val="2"/>
      </w:pPr>
    </w:p>
    <w:p>
      <w:pPr>
        <w:pStyle w:val="2"/>
      </w:pPr>
    </w:p>
    <w:tbl>
      <w:tblPr>
        <w:tblStyle w:val="11"/>
        <w:tblpPr w:leftFromText="180" w:rightFromText="180" w:vertAnchor="text" w:horzAnchor="page" w:tblpX="1065" w:tblpY="29"/>
        <w:tblOverlap w:val="never"/>
        <w:tblW w:w="14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927"/>
        <w:gridCol w:w="12054"/>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19" w:type="dxa"/>
            <w:vMerge w:val="restart"/>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过程与活动、抽样计划</w:t>
            </w:r>
          </w:p>
        </w:tc>
        <w:tc>
          <w:tcPr>
            <w:tcW w:w="927" w:type="dxa"/>
            <w:vMerge w:val="restart"/>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涉及</w:t>
            </w:r>
          </w:p>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条款</w:t>
            </w:r>
          </w:p>
        </w:tc>
        <w:tc>
          <w:tcPr>
            <w:tcW w:w="12054"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受审核部门：</w:t>
            </w:r>
            <w:r>
              <w:rPr>
                <w:rFonts w:hint="eastAsia" w:ascii="宋体" w:hAnsi="宋体" w:eastAsia="宋体" w:cs="宋体"/>
                <w:sz w:val="21"/>
                <w:szCs w:val="21"/>
                <w:highlight w:val="none"/>
                <w:lang w:val="en-US" w:eastAsia="zh-CN"/>
              </w:rPr>
              <w:t>销售</w:t>
            </w:r>
            <w:r>
              <w:rPr>
                <w:rFonts w:hint="eastAsia" w:ascii="宋体" w:hAnsi="宋体" w:eastAsia="宋体" w:cs="宋体"/>
                <w:sz w:val="21"/>
                <w:szCs w:val="21"/>
                <w:highlight w:val="none"/>
              </w:rPr>
              <w:t>部   主管领导：</w:t>
            </w:r>
            <w:r>
              <w:rPr>
                <w:rFonts w:hint="eastAsia" w:ascii="宋体" w:hAnsi="宋体" w:eastAsia="宋体" w:cs="宋体"/>
                <w:sz w:val="21"/>
                <w:szCs w:val="21"/>
                <w:highlight w:val="none"/>
                <w:lang w:val="en-US" w:eastAsia="zh-CN"/>
              </w:rPr>
              <w:t>段力宵</w:t>
            </w:r>
          </w:p>
        </w:tc>
        <w:tc>
          <w:tcPr>
            <w:tcW w:w="583" w:type="dxa"/>
            <w:vMerge w:val="restart"/>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19" w:type="dxa"/>
            <w:vMerge w:val="continue"/>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c>
          <w:tcPr>
            <w:tcW w:w="927" w:type="dxa"/>
            <w:vMerge w:val="continue"/>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c>
          <w:tcPr>
            <w:tcW w:w="12054" w:type="dxa"/>
            <w:noWrap w:val="0"/>
            <w:vAlign w:val="center"/>
          </w:tcPr>
          <w:p>
            <w:pPr>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审核员：</w:t>
            </w:r>
            <w:r>
              <w:rPr>
                <w:rFonts w:hint="eastAsia" w:ascii="宋体" w:hAnsi="宋体" w:eastAsia="宋体" w:cs="宋体"/>
                <w:sz w:val="21"/>
                <w:szCs w:val="21"/>
                <w:highlight w:val="none"/>
                <w:lang w:val="en-US" w:eastAsia="zh-CN"/>
              </w:rPr>
              <w:t>刘玉兰</w:t>
            </w:r>
            <w:r>
              <w:rPr>
                <w:rFonts w:hint="eastAsia" w:ascii="宋体" w:hAnsi="宋体" w:eastAsia="宋体" w:cs="宋体"/>
                <w:sz w:val="21"/>
                <w:szCs w:val="21"/>
                <w:highlight w:val="none"/>
              </w:rPr>
              <w:t xml:space="preserve">     审核时间：20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18</w:t>
            </w:r>
          </w:p>
        </w:tc>
        <w:tc>
          <w:tcPr>
            <w:tcW w:w="583" w:type="dxa"/>
            <w:vMerge w:val="continue"/>
            <w:noWrap w:val="0"/>
            <w:vAlign w:val="top"/>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19" w:type="dxa"/>
            <w:vMerge w:val="continue"/>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c>
          <w:tcPr>
            <w:tcW w:w="927" w:type="dxa"/>
            <w:vMerge w:val="continue"/>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c>
          <w:tcPr>
            <w:tcW w:w="12054"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审核条款：</w:t>
            </w:r>
            <w:r>
              <w:rPr>
                <w:rFonts w:hint="eastAsia" w:ascii="宋体" w:hAnsi="宋体" w:eastAsia="宋体" w:cs="宋体"/>
                <w:sz w:val="21"/>
                <w:szCs w:val="21"/>
                <w:highlight w:val="none"/>
                <w:lang w:val="en-US" w:eastAsia="zh-CN"/>
              </w:rPr>
              <w:t>Q</w:t>
            </w:r>
            <w:r>
              <w:rPr>
                <w:rFonts w:hint="eastAsia" w:ascii="宋体" w:hAnsi="宋体" w:cs="宋体"/>
                <w:sz w:val="21"/>
                <w:szCs w:val="21"/>
                <w:highlight w:val="none"/>
                <w:lang w:val="en-US" w:eastAsia="zh-CN"/>
              </w:rPr>
              <w:t>S</w:t>
            </w:r>
            <w:r>
              <w:rPr>
                <w:rFonts w:hint="eastAsia" w:ascii="宋体" w:hAnsi="宋体" w:eastAsia="宋体" w:cs="宋体"/>
                <w:sz w:val="21"/>
                <w:szCs w:val="21"/>
                <w:highlight w:val="none"/>
              </w:rPr>
              <w:t>6.2</w:t>
            </w:r>
            <w:r>
              <w:rPr>
                <w:rFonts w:hint="eastAsia" w:ascii="宋体" w:hAnsi="宋体" w:cs="宋体"/>
                <w:sz w:val="21"/>
                <w:szCs w:val="21"/>
                <w:highlight w:val="none"/>
                <w:lang w:val="en-US" w:eastAsia="zh-CN"/>
              </w:rPr>
              <w:t>;</w:t>
            </w:r>
            <w:r>
              <w:rPr>
                <w:rFonts w:hint="eastAsia" w:ascii="宋体" w:hAnsi="宋体" w:eastAsia="宋体" w:cs="宋体"/>
                <w:b w:val="0"/>
                <w:bCs/>
                <w:color w:val="auto"/>
                <w:sz w:val="21"/>
                <w:szCs w:val="21"/>
                <w:lang w:val="en-US" w:eastAsia="zh-CN"/>
              </w:rPr>
              <w:t>Q</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8.2.1</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8.2.2</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8.2.3</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8.2.4</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9.1.2</w:t>
            </w:r>
            <w:r>
              <w:rPr>
                <w:rFonts w:hint="eastAsia" w:ascii="宋体" w:hAnsi="宋体" w:cs="宋体"/>
                <w:b w:val="0"/>
                <w:bCs/>
                <w:color w:val="auto"/>
                <w:sz w:val="21"/>
                <w:szCs w:val="21"/>
                <w:lang w:val="en-US" w:eastAsia="zh-CN"/>
              </w:rPr>
              <w:t>)</w:t>
            </w:r>
            <w:r>
              <w:rPr>
                <w:rFonts w:hint="eastAsia" w:ascii="宋体" w:hAnsi="宋体" w:cs="宋体"/>
                <w:b w:val="0"/>
                <w:bCs/>
                <w:color w:val="auto"/>
                <w:sz w:val="21"/>
                <w:szCs w:val="21"/>
                <w:lang w:eastAsia="zh-CN"/>
              </w:rPr>
              <w:t>；</w:t>
            </w:r>
            <w:r>
              <w:rPr>
                <w:rFonts w:hint="eastAsia" w:ascii="宋体" w:hAnsi="宋体" w:cs="宋体"/>
                <w:sz w:val="21"/>
                <w:szCs w:val="21"/>
                <w:highlight w:val="none"/>
                <w:lang w:val="en-US" w:eastAsia="zh-CN"/>
              </w:rPr>
              <w:t>S</w:t>
            </w:r>
            <w:r>
              <w:rPr>
                <w:rFonts w:hint="eastAsia" w:ascii="宋体" w:hAnsi="宋体" w:eastAsia="宋体" w:cs="宋体"/>
                <w:sz w:val="21"/>
                <w:szCs w:val="21"/>
                <w:highlight w:val="none"/>
              </w:rPr>
              <w:t>6.1.2</w:t>
            </w:r>
            <w:r>
              <w:rPr>
                <w:rFonts w:hint="eastAsia" w:ascii="宋体" w:hAnsi="宋体" w:cs="宋体"/>
                <w:sz w:val="21"/>
                <w:szCs w:val="21"/>
                <w:highlight w:val="none"/>
                <w:lang w:eastAsia="zh-CN"/>
              </w:rPr>
              <w:t>。</w:t>
            </w:r>
          </w:p>
        </w:tc>
        <w:tc>
          <w:tcPr>
            <w:tcW w:w="583" w:type="dxa"/>
            <w:vMerge w:val="continue"/>
            <w:noWrap w:val="0"/>
            <w:vAlign w:val="top"/>
          </w:tcPr>
          <w:p>
            <w:pPr>
              <w:keepLines w:val="0"/>
              <w:pageBreakBefore w:val="0"/>
              <w:kinsoku/>
              <w:wordWrap/>
              <w:overflowPunct/>
              <w:topLinePunct w:val="0"/>
              <w:bidi w:val="0"/>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19"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目标和方案</w:t>
            </w:r>
          </w:p>
        </w:tc>
        <w:tc>
          <w:tcPr>
            <w:tcW w:w="927"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w:t>
            </w:r>
            <w:r>
              <w:rPr>
                <w:rFonts w:hint="eastAsia" w:ascii="宋体" w:hAnsi="宋体" w:cs="宋体"/>
                <w:sz w:val="21"/>
                <w:szCs w:val="21"/>
                <w:highlight w:val="none"/>
                <w:lang w:val="en-US" w:eastAsia="zh-CN"/>
              </w:rPr>
              <w:t>S</w:t>
            </w:r>
            <w:r>
              <w:rPr>
                <w:rFonts w:hint="eastAsia" w:ascii="宋体" w:hAnsi="宋体" w:eastAsia="宋体" w:cs="宋体"/>
                <w:sz w:val="21"/>
                <w:szCs w:val="21"/>
                <w:highlight w:val="none"/>
              </w:rPr>
              <w:t>6.2</w:t>
            </w:r>
          </w:p>
        </w:tc>
        <w:tc>
          <w:tcPr>
            <w:tcW w:w="12054" w:type="dxa"/>
            <w:noWrap w:val="0"/>
            <w:vAlign w:val="center"/>
          </w:tcPr>
          <w:p>
            <w:pPr>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◆部门目标：                </w:t>
            </w:r>
            <w:r>
              <w:rPr>
                <w:rFonts w:hint="eastAsia" w:ascii="宋体" w:hAnsi="宋体" w:eastAsia="宋体" w:cs="宋体"/>
                <w:sz w:val="21"/>
                <w:szCs w:val="21"/>
                <w:highlight w:val="none"/>
                <w:lang w:val="en-US" w:eastAsia="zh-CN"/>
              </w:rPr>
              <w:t xml:space="preserve">   </w:t>
            </w:r>
          </w:p>
          <w:p>
            <w:pPr>
              <w:keepLines w:val="0"/>
              <w:pageBreakBefore w:val="0"/>
              <w:numPr>
                <w:ilvl w:val="0"/>
                <w:numId w:val="3"/>
              </w:numPr>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采购合同评审率100%；</w:t>
            </w:r>
          </w:p>
          <w:p>
            <w:pPr>
              <w:keepLines w:val="0"/>
              <w:pageBreakBefore w:val="0"/>
              <w:numPr>
                <w:ilvl w:val="0"/>
                <w:numId w:val="3"/>
              </w:numPr>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顾客反馈信息处理率100% ；</w:t>
            </w:r>
          </w:p>
          <w:p>
            <w:pPr>
              <w:pStyle w:val="2"/>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3.顾客满意率≧90%</w:t>
            </w:r>
          </w:p>
          <w:p>
            <w:pPr>
              <w:keepLines w:val="0"/>
              <w:pageBreakBefore w:val="0"/>
              <w:kinsoku/>
              <w:wordWrap/>
              <w:overflowPunct/>
              <w:topLinePunct w:val="0"/>
              <w:bidi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抽管理方案，无需制定。</w:t>
            </w:r>
          </w:p>
          <w:p>
            <w:pPr>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今年1~4月完成情况：均完成。</w:t>
            </w:r>
          </w:p>
        </w:tc>
        <w:tc>
          <w:tcPr>
            <w:tcW w:w="583"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19" w:type="dxa"/>
            <w:noWrap w:val="0"/>
            <w:vAlign w:val="center"/>
          </w:tcPr>
          <w:p>
            <w:pPr>
              <w:keepLines w:val="0"/>
              <w:pageBreakBefore w:val="0"/>
              <w:kinsoku/>
              <w:wordWrap/>
              <w:overflowPunct/>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危险源识别</w:t>
            </w:r>
            <w:r>
              <w:rPr>
                <w:rFonts w:hint="eastAsia" w:ascii="宋体" w:hAnsi="宋体" w:eastAsia="宋体" w:cs="宋体"/>
                <w:sz w:val="21"/>
                <w:szCs w:val="21"/>
                <w:highlight w:val="none"/>
                <w:lang w:val="en-US" w:eastAsia="zh-CN"/>
              </w:rPr>
              <w:t>及风险评价、控制措施策划</w:t>
            </w:r>
          </w:p>
        </w:tc>
        <w:tc>
          <w:tcPr>
            <w:tcW w:w="927" w:type="dxa"/>
            <w:noWrap w:val="0"/>
            <w:vAlign w:val="center"/>
          </w:tcPr>
          <w:p>
            <w:pPr>
              <w:keepLines w:val="0"/>
              <w:pageBreakBefore w:val="0"/>
              <w:kinsoku/>
              <w:wordWrap/>
              <w:overflowPunct/>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S</w:t>
            </w:r>
            <w:r>
              <w:rPr>
                <w:rFonts w:hint="eastAsia" w:ascii="宋体" w:hAnsi="宋体" w:eastAsia="宋体" w:cs="宋体"/>
                <w:sz w:val="21"/>
                <w:szCs w:val="21"/>
                <w:highlight w:val="none"/>
              </w:rPr>
              <w:t>6.1.2</w:t>
            </w:r>
          </w:p>
        </w:tc>
        <w:tc>
          <w:tcPr>
            <w:tcW w:w="1205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公司</w:t>
            </w:r>
            <w:r>
              <w:rPr>
                <w:rFonts w:hint="eastAsia" w:ascii="宋体" w:hAnsi="宋体" w:eastAsia="宋体" w:cs="宋体"/>
                <w:sz w:val="21"/>
                <w:szCs w:val="21"/>
                <w:highlight w:val="none"/>
              </w:rPr>
              <w:t>策划、编制了</w:t>
            </w:r>
            <w:r>
              <w:rPr>
                <w:rFonts w:hint="eastAsia" w:ascii="宋体" w:hAnsi="宋体" w:eastAsia="宋体" w:cs="宋体"/>
                <w:sz w:val="21"/>
                <w:szCs w:val="21"/>
                <w:highlight w:val="none"/>
                <w:lang w:eastAsia="zh-CN"/>
              </w:rPr>
              <w:t>《危险源辩识与风险评价控制程序》</w:t>
            </w:r>
            <w:r>
              <w:rPr>
                <w:rFonts w:hint="eastAsia" w:ascii="宋体" w:hAnsi="宋体" w:eastAsia="宋体" w:cs="宋体"/>
                <w:sz w:val="21"/>
                <w:szCs w:val="21"/>
                <w:highlight w:val="none"/>
              </w:rPr>
              <w:t>，经文审符合标准要求</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该部门按程序要求开展了相关工作：</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color w:val="auto"/>
                <w:sz w:val="21"/>
                <w:szCs w:val="21"/>
                <w:highlight w:val="none"/>
                <w:lang w:val="en-US" w:eastAsia="zh-CN"/>
              </w:rPr>
              <w:t>1.按岗位开展</w:t>
            </w:r>
            <w:r>
              <w:rPr>
                <w:rFonts w:hint="eastAsia" w:ascii="宋体" w:hAnsi="宋体" w:eastAsia="宋体" w:cs="宋体"/>
                <w:sz w:val="21"/>
                <w:szCs w:val="21"/>
                <w:highlight w:val="none"/>
                <w:lang w:eastAsia="zh-CN"/>
              </w:rPr>
              <w:t>危险源辩识，</w:t>
            </w:r>
            <w:r>
              <w:rPr>
                <w:rFonts w:hint="eastAsia" w:ascii="宋体" w:hAnsi="宋体" w:eastAsia="宋体" w:cs="宋体"/>
                <w:sz w:val="21"/>
                <w:szCs w:val="21"/>
                <w:highlight w:val="none"/>
                <w:lang w:val="en-US" w:eastAsia="zh-CN"/>
              </w:rPr>
              <w:t>共</w:t>
            </w:r>
            <w:r>
              <w:rPr>
                <w:rFonts w:hint="eastAsia" w:ascii="宋体" w:hAnsi="宋体" w:eastAsia="宋体" w:cs="宋体"/>
                <w:sz w:val="21"/>
                <w:szCs w:val="21"/>
                <w:highlight w:val="none"/>
                <w:lang w:eastAsia="zh-CN"/>
              </w:rPr>
              <w:t>辩识危险源</w:t>
            </w:r>
            <w:r>
              <w:rPr>
                <w:rFonts w:hint="eastAsia" w:ascii="宋体" w:hAnsi="宋体" w:eastAsia="宋体" w:cs="宋体"/>
                <w:sz w:val="21"/>
                <w:szCs w:val="21"/>
                <w:highlight w:val="none"/>
                <w:lang w:val="en-US" w:eastAsia="zh-CN"/>
              </w:rPr>
              <w:t>9项，并汇总在</w:t>
            </w:r>
            <w:r>
              <w:rPr>
                <w:rFonts w:hint="eastAsia" w:ascii="宋体" w:hAnsi="宋体" w:eastAsia="宋体" w:cs="宋体"/>
                <w:sz w:val="21"/>
                <w:szCs w:val="21"/>
                <w:highlight w:val="none"/>
                <w:u w:val="none" w:color="auto"/>
              </w:rPr>
              <w:t>《</w:t>
            </w:r>
            <w:r>
              <w:rPr>
                <w:rFonts w:hint="eastAsia" w:ascii="宋体" w:hAnsi="宋体" w:eastAsia="宋体" w:cs="宋体"/>
                <w:sz w:val="21"/>
                <w:szCs w:val="21"/>
                <w:highlight w:val="none"/>
                <w:u w:val="none" w:color="auto"/>
                <w:lang w:val="en-US" w:eastAsia="zh-CN"/>
              </w:rPr>
              <w:t>危险源识别清单</w:t>
            </w:r>
            <w:r>
              <w:rPr>
                <w:rFonts w:hint="eastAsia" w:ascii="宋体" w:hAnsi="宋体" w:eastAsia="宋体" w:cs="宋体"/>
                <w:sz w:val="21"/>
                <w:szCs w:val="21"/>
                <w:highlight w:val="none"/>
                <w:u w:val="none" w:color="auto"/>
              </w:rPr>
              <w:t>》</w:t>
            </w:r>
            <w:r>
              <w:rPr>
                <w:rFonts w:hint="eastAsia" w:ascii="宋体" w:hAnsi="宋体" w:eastAsia="宋体" w:cs="宋体"/>
                <w:sz w:val="21"/>
                <w:szCs w:val="21"/>
                <w:highlight w:val="none"/>
                <w:u w:val="none" w:color="auto"/>
                <w:lang w:val="en-US" w:eastAsia="zh-CN"/>
              </w:rPr>
              <w:t>中，包括</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lang w:val="en-US" w:eastAsia="zh-CN" w:bidi="ar-SA"/>
              </w:rPr>
              <w:t>正常天气上下班途中交通事故导致人身伤亡；雨、雪、大风等恶劣天气上下班途中摔伤、砸伤导致人身伤亡；驾驶车辆出差中交通事故导致人身伤亡等</w:t>
            </w:r>
            <w:r>
              <w:rPr>
                <w:rFonts w:hint="eastAsia" w:ascii="宋体" w:hAnsi="宋体" w:eastAsia="宋体" w:cs="宋体"/>
                <w:bCs/>
                <w:sz w:val="21"/>
                <w:szCs w:val="21"/>
                <w:highlight w:val="none"/>
                <w:lang w:val="en-US" w:eastAsia="zh-CN"/>
              </w:rPr>
              <w:t>，火灾等等。</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2.应用头脑风暴法和经验法评价上述</w:t>
            </w:r>
            <w:r>
              <w:rPr>
                <w:rFonts w:hint="eastAsia" w:ascii="宋体" w:hAnsi="宋体" w:eastAsia="宋体" w:cs="宋体"/>
                <w:sz w:val="21"/>
                <w:szCs w:val="21"/>
                <w:highlight w:val="none"/>
                <w:lang w:eastAsia="zh-CN"/>
              </w:rPr>
              <w:t>危险源，</w:t>
            </w:r>
            <w:r>
              <w:rPr>
                <w:rFonts w:hint="eastAsia" w:ascii="宋体" w:hAnsi="宋体" w:eastAsia="宋体" w:cs="宋体"/>
                <w:sz w:val="21"/>
                <w:szCs w:val="21"/>
                <w:highlight w:val="none"/>
                <w:lang w:val="en-US" w:eastAsia="zh-CN"/>
              </w:rPr>
              <w:t>结果为：</w:t>
            </w:r>
            <w:r>
              <w:rPr>
                <w:rFonts w:hint="eastAsia" w:ascii="宋体" w:hAnsi="宋体" w:eastAsia="宋体" w:cs="宋体"/>
                <w:bCs/>
                <w:sz w:val="21"/>
                <w:szCs w:val="21"/>
                <w:highlight w:val="none"/>
                <w:lang w:val="en-US" w:eastAsia="zh-CN"/>
              </w:rPr>
              <w:t>火灾——不可接受风险，其余均为一般风险。</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3.针对每一项风险，均策划了控制措施。如：</w:t>
            </w:r>
          </w:p>
          <w:p>
            <w:pPr>
              <w:pStyle w:val="2"/>
              <w:keepNext w:val="0"/>
              <w:keepLines w:val="0"/>
              <w:pageBreakBefore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bCs/>
                <w:sz w:val="21"/>
                <w:szCs w:val="21"/>
                <w:highlight w:val="none"/>
                <w:lang w:val="en-US" w:eastAsia="zh-CN"/>
              </w:rPr>
              <w:t>针对“火灾”，制定的控制措施为：</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1）配备足够数量的灭火器，且保证其合格。</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sz w:val="21"/>
                <w:szCs w:val="21"/>
                <w:highlight w:val="none"/>
                <w:lang w:val="en-US" w:eastAsia="zh-CN"/>
              </w:rPr>
              <w:t>所有大功率电器</w:t>
            </w:r>
            <w:r>
              <w:rPr>
                <w:rFonts w:hint="eastAsia" w:ascii="宋体" w:hAnsi="宋体" w:eastAsia="宋体" w:cs="宋体"/>
                <w:sz w:val="21"/>
                <w:szCs w:val="21"/>
                <w:highlight w:val="none"/>
              </w:rPr>
              <w:t>安装漏电保护器</w:t>
            </w:r>
            <w:r>
              <w:rPr>
                <w:rFonts w:hint="eastAsia" w:ascii="宋体" w:hAnsi="宋体" w:eastAsia="宋体" w:cs="宋体"/>
                <w:sz w:val="21"/>
                <w:szCs w:val="21"/>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lang w:val="en-US" w:eastAsia="zh-CN" w:bidi="ar-SA"/>
              </w:rPr>
              <w:t>◆针对“交通事故导致人身伤亡”，</w:t>
            </w:r>
            <w:r>
              <w:rPr>
                <w:rFonts w:hint="eastAsia" w:ascii="宋体" w:hAnsi="宋体" w:eastAsia="宋体" w:cs="宋体"/>
                <w:bCs/>
                <w:sz w:val="21"/>
                <w:szCs w:val="21"/>
                <w:highlight w:val="none"/>
                <w:lang w:val="en-US" w:eastAsia="zh-CN"/>
              </w:rPr>
              <w:t>制定的控制措施为：</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1）驾驶车辆出差前检查车况；</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2）遵守交通规则。</w:t>
            </w:r>
          </w:p>
        </w:tc>
        <w:tc>
          <w:tcPr>
            <w:tcW w:w="583"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19" w:type="dxa"/>
            <w:noWrap w:val="0"/>
            <w:vAlign w:val="top"/>
          </w:tcPr>
          <w:p>
            <w:pPr>
              <w:pStyle w:val="3"/>
              <w:keepLines w:val="0"/>
              <w:pageBreakBefore w:val="0"/>
              <w:kinsoku/>
              <w:wordWrap/>
              <w:overflowPunct/>
              <w:topLinePunct w:val="0"/>
              <w:bidi w:val="0"/>
              <w:spacing w:line="360" w:lineRule="auto"/>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b/>
                <w:bCs w:val="0"/>
                <w:color w:val="000000"/>
                <w:sz w:val="21"/>
                <w:szCs w:val="21"/>
                <w:highlight w:val="none"/>
              </w:rPr>
              <w:t>产品和服务的要求</w:t>
            </w:r>
          </w:p>
        </w:tc>
        <w:tc>
          <w:tcPr>
            <w:tcW w:w="927" w:type="dxa"/>
            <w:noWrap w:val="0"/>
            <w:vAlign w:val="top"/>
          </w:tcPr>
          <w:p>
            <w:pPr>
              <w:pStyle w:val="4"/>
              <w:keepLines w:val="0"/>
              <w:pageBreakBefore w:val="0"/>
              <w:kinsoku/>
              <w:wordWrap/>
              <w:overflowPunct/>
              <w:topLinePunct w:val="0"/>
              <w:bidi w:val="0"/>
              <w:spacing w:line="360" w:lineRule="auto"/>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Q8.2</w:t>
            </w:r>
          </w:p>
          <w:p>
            <w:pPr>
              <w:pStyle w:val="4"/>
              <w:keepLines w:val="0"/>
              <w:pageBreakBefore w:val="0"/>
              <w:kinsoku/>
              <w:wordWrap/>
              <w:overflowPunct/>
              <w:topLinePunct w:val="0"/>
              <w:bidi w:val="0"/>
              <w:spacing w:line="360" w:lineRule="auto"/>
              <w:ind w:left="0" w:leftChars="0"/>
              <w:rPr>
                <w:rFonts w:hint="default" w:ascii="宋体" w:hAnsi="宋体" w:eastAsia="宋体" w:cs="宋体"/>
                <w:sz w:val="21"/>
                <w:szCs w:val="21"/>
                <w:highlight w:val="none"/>
                <w:lang w:val="en-US" w:eastAsia="zh-CN"/>
              </w:rPr>
            </w:pPr>
          </w:p>
        </w:tc>
        <w:tc>
          <w:tcPr>
            <w:tcW w:w="1205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lang w:val="en-US" w:eastAsia="zh-CN"/>
              </w:rPr>
            </w:pPr>
            <w:r>
              <w:rPr>
                <w:rFonts w:hint="eastAsia"/>
                <w:highlight w:val="none"/>
                <w:lang w:val="en-US" w:eastAsia="zh-CN"/>
              </w:rPr>
              <w:t>该部门负责产品和服务要求确定的工作，根据与顾客签订书面合同或口头合同（该公司的产品特点是：针对固定对象（今年主要是城管执法人员服装、路政管理人员服装）、非市场销售模式）进行销售，与产品的有关要求通过销售合同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rPr>
            </w:pPr>
            <w:r>
              <w:rPr>
                <w:rFonts w:hint="eastAsia"/>
                <w:highlight w:val="none"/>
              </w:rPr>
              <w:t xml:space="preserve">采用电话营销、会展宣传、市场推广、政府项目投标等形式，主动向顾客介绍本公司产品服务信息，提供宣传资料，每年进行市场调研，及时掌握市场动态和顾客需求动向。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rPr>
            </w:pPr>
            <w:r>
              <w:rPr>
                <w:rFonts w:hint="eastAsia"/>
                <w:highlight w:val="none"/>
                <w:lang w:val="en-US" w:eastAsia="zh-CN"/>
              </w:rPr>
              <w:t>该部门</w:t>
            </w:r>
            <w:r>
              <w:rPr>
                <w:rFonts w:hint="eastAsia"/>
                <w:highlight w:val="none"/>
              </w:rPr>
              <w:t>对本公司的主要顾客建立档案，详细记录其名称、地址、电话、联系人及订购广告业务、投放情况、项目生产报告等；办公室对顾客的档案进行编号、整理，了解顾客的定制服务倾向并及时提供相关的产品信息。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rPr>
            </w:pPr>
            <w:r>
              <w:rPr>
                <w:rFonts w:hint="eastAsia"/>
                <w:highlight w:val="none"/>
                <w:lang w:val="en-US" w:eastAsia="zh-CN"/>
              </w:rPr>
              <w:t>该部门</w:t>
            </w:r>
            <w:r>
              <w:rPr>
                <w:rFonts w:hint="eastAsia"/>
                <w:highlight w:val="none"/>
              </w:rPr>
              <w:t>对顾客来信、电话、传真等方式的问询和咨询要及时、热情解答并记录，暂时未能解答的，要详细记录顾客的名称及联络方式，汇同销售服务人员等研究后予以解答。</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lang w:val="en-US" w:eastAsia="zh-CN"/>
              </w:rPr>
            </w:pPr>
            <w:r>
              <w:rPr>
                <w:rFonts w:hint="eastAsia"/>
                <w:highlight w:val="none"/>
              </w:rPr>
              <w:t>各部门接获顾客反馈的有关信息或投诉后填写顾客反馈信息记录，按《纠正措施控制程序》进行处理。</w:t>
            </w:r>
            <w:r>
              <w:rPr>
                <w:rFonts w:hint="eastAsia"/>
                <w:highlight w:val="none"/>
                <w:lang w:val="en-US" w:eastAsia="zh-CN"/>
              </w:rPr>
              <w:t>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lang w:val="en-US" w:eastAsia="zh-CN"/>
              </w:rPr>
            </w:pPr>
            <w:r>
              <w:rPr>
                <w:rFonts w:hint="eastAsia"/>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highlight w:val="none"/>
                <w:lang w:val="en-US" w:eastAsia="zh-CN"/>
              </w:rPr>
            </w:pPr>
            <w:r>
              <w:rPr>
                <w:rFonts w:hint="eastAsia"/>
                <w:highlight w:val="none"/>
                <w:lang w:val="en-US" w:eastAsia="zh-CN"/>
              </w:rPr>
              <w:t>有《销售合同台账》或交货清单。</w:t>
            </w:r>
          </w:p>
          <w:p>
            <w:pPr>
              <w:pStyle w:val="2"/>
              <w:keepLines w:val="0"/>
              <w:pageBreakBefore w:val="0"/>
              <w:kinsoku/>
              <w:wordWrap/>
              <w:overflowPunct/>
              <w:topLinePunct w:val="0"/>
              <w:bidi w:val="0"/>
              <w:spacing w:line="360" w:lineRule="auto"/>
              <w:rPr>
                <w:rFonts w:hint="eastAsia"/>
                <w:highlight w:val="none"/>
                <w:lang w:val="en-US" w:eastAsia="zh-CN"/>
              </w:rPr>
            </w:pPr>
            <w:r>
              <w:rPr>
                <w:rFonts w:hint="eastAsia"/>
                <w:highlight w:val="none"/>
                <w:lang w:val="en-US" w:eastAsia="zh-CN"/>
              </w:rPr>
              <w:drawing>
                <wp:inline distT="0" distB="0" distL="114300" distR="114300">
                  <wp:extent cx="7071360" cy="9387205"/>
                  <wp:effectExtent l="0" t="0" r="2540" b="10795"/>
                  <wp:docPr id="5" name="图片 3" descr="88742691363864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887426913638644093"/>
                          <pic:cNvPicPr>
                            <a:picLocks noChangeAspect="1"/>
                          </pic:cNvPicPr>
                        </pic:nvPicPr>
                        <pic:blipFill>
                          <a:blip r:embed="rId12"/>
                          <a:stretch>
                            <a:fillRect/>
                          </a:stretch>
                        </pic:blipFill>
                        <pic:spPr>
                          <a:xfrm>
                            <a:off x="0" y="0"/>
                            <a:ext cx="7071360" cy="9387205"/>
                          </a:xfrm>
                          <a:prstGeom prst="rect">
                            <a:avLst/>
                          </a:prstGeom>
                          <a:noFill/>
                          <a:ln>
                            <a:noFill/>
                          </a:ln>
                        </pic:spPr>
                      </pic:pic>
                    </a:graphicData>
                  </a:graphic>
                </wp:inline>
              </w:drawing>
            </w:r>
          </w:p>
          <w:p>
            <w:pPr>
              <w:pStyle w:val="2"/>
              <w:keepLines w:val="0"/>
              <w:pageBreakBefore w:val="0"/>
              <w:kinsoku/>
              <w:wordWrap/>
              <w:overflowPunct/>
              <w:topLinePunct w:val="0"/>
              <w:bidi w:val="0"/>
              <w:spacing w:line="360" w:lineRule="auto"/>
              <w:rPr>
                <w:rFonts w:hint="eastAsia"/>
                <w:highlight w:val="none"/>
                <w:lang w:val="en-US" w:eastAsia="zh-CN"/>
              </w:rPr>
            </w:pPr>
          </w:p>
          <w:p>
            <w:pPr>
              <w:pStyle w:val="2"/>
              <w:keepLines w:val="0"/>
              <w:pageBreakBefore w:val="0"/>
              <w:kinsoku/>
              <w:wordWrap/>
              <w:overflowPunct/>
              <w:topLinePunct w:val="0"/>
              <w:bidi w:val="0"/>
              <w:spacing w:line="360" w:lineRule="auto"/>
              <w:rPr>
                <w:rFonts w:hint="eastAsia"/>
                <w:highlight w:val="none"/>
                <w:lang w:val="en-US" w:eastAsia="zh-CN"/>
              </w:rPr>
            </w:pPr>
            <w:r>
              <w:rPr>
                <w:rFonts w:hint="eastAsia"/>
                <w:highlight w:val="none"/>
                <w:lang w:val="en-US" w:eastAsia="zh-CN"/>
              </w:rPr>
              <w:drawing>
                <wp:inline distT="0" distB="0" distL="114300" distR="114300">
                  <wp:extent cx="7079615" cy="10302240"/>
                  <wp:effectExtent l="0" t="0" r="6985" b="10160"/>
                  <wp:docPr id="4" name="图片 4" descr="63613662363230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6136623632303187"/>
                          <pic:cNvPicPr>
                            <a:picLocks noChangeAspect="1"/>
                          </pic:cNvPicPr>
                        </pic:nvPicPr>
                        <pic:blipFill>
                          <a:blip r:embed="rId13"/>
                          <a:stretch>
                            <a:fillRect/>
                          </a:stretch>
                        </pic:blipFill>
                        <pic:spPr>
                          <a:xfrm>
                            <a:off x="0" y="0"/>
                            <a:ext cx="7079615" cy="10302240"/>
                          </a:xfrm>
                          <a:prstGeom prst="rect">
                            <a:avLst/>
                          </a:prstGeom>
                          <a:noFill/>
                          <a:ln>
                            <a:noFill/>
                          </a:ln>
                        </pic:spPr>
                      </pic:pic>
                    </a:graphicData>
                  </a:graphic>
                </wp:inline>
              </w:drawing>
            </w:r>
          </w:p>
          <w:p>
            <w:pPr>
              <w:pStyle w:val="2"/>
              <w:keepLines w:val="0"/>
              <w:pageBreakBefore w:val="0"/>
              <w:kinsoku/>
              <w:wordWrap/>
              <w:overflowPunct/>
              <w:topLinePunct w:val="0"/>
              <w:bidi w:val="0"/>
              <w:spacing w:line="360" w:lineRule="auto"/>
              <w:rPr>
                <w:rFonts w:hint="eastAsia"/>
                <w:highlight w:val="none"/>
                <w:lang w:val="en-US" w:eastAsia="zh-CN"/>
              </w:rPr>
            </w:pPr>
          </w:p>
          <w:p>
            <w:pPr>
              <w:keepLines w:val="0"/>
              <w:pageBreakBefore w:val="0"/>
              <w:kinsoku/>
              <w:wordWrap/>
              <w:overflowPunct/>
              <w:topLinePunct w:val="0"/>
              <w:bidi w:val="0"/>
              <w:adjustRightInd w:val="0"/>
              <w:snapToGrid w:val="0"/>
              <w:spacing w:line="360" w:lineRule="auto"/>
              <w:ind w:firstLine="420" w:firstLineChars="200"/>
              <w:rPr>
                <w:rFonts w:hint="eastAsia"/>
                <w:highlight w:val="none"/>
              </w:rPr>
            </w:pPr>
            <w:r>
              <w:rPr>
                <w:rFonts w:hint="eastAsia"/>
                <w:highlight w:val="none"/>
                <w:lang w:val="en-US" w:eastAsia="zh-CN"/>
              </w:rPr>
              <w:t>该部门</w:t>
            </w:r>
            <w:r>
              <w:rPr>
                <w:rFonts w:hint="eastAsia"/>
                <w:highlight w:val="none"/>
              </w:rPr>
              <w:t>负责确定顾客明示的要求和识别顾客潜在的要求，包括习惯上隐含的、无需明示的要求，应履行的与产品有关的义务，相关质量法律法规、相关产品标准的要求，产品本身的适用性要求，以及顾客对产品的可靠性、运输、支持性服务，对自身的健康、安全、环境等方面的要求。</w:t>
            </w:r>
          </w:p>
          <w:p>
            <w:pPr>
              <w:keepLines w:val="0"/>
              <w:pageBreakBefore w:val="0"/>
              <w:kinsoku/>
              <w:wordWrap/>
              <w:overflowPunct/>
              <w:topLinePunct w:val="0"/>
              <w:bidi w:val="0"/>
              <w:adjustRightInd w:val="0"/>
              <w:snapToGrid w:val="0"/>
              <w:spacing w:line="360" w:lineRule="auto"/>
              <w:ind w:firstLine="420" w:firstLineChars="200"/>
              <w:rPr>
                <w:rFonts w:hint="eastAsia"/>
                <w:highlight w:val="none"/>
              </w:rPr>
            </w:pPr>
            <w:r>
              <w:rPr>
                <w:rFonts w:hint="eastAsia"/>
                <w:highlight w:val="none"/>
              </w:rPr>
              <w:t>为了满足市场和顾客的需求，确保各种合同订单的顺利执行，使本公司获得良好经济效益和社会效益，</w:t>
            </w:r>
            <w:r>
              <w:rPr>
                <w:rFonts w:hint="eastAsia"/>
                <w:highlight w:val="none"/>
                <w:lang w:val="en-US" w:eastAsia="zh-CN"/>
              </w:rPr>
              <w:t>该部门</w:t>
            </w:r>
            <w:r>
              <w:rPr>
                <w:rFonts w:hint="eastAsia"/>
                <w:highlight w:val="none"/>
              </w:rPr>
              <w:t>须对各种合同及标书进行评审，必要时与总经理共同评审。</w:t>
            </w:r>
          </w:p>
          <w:p>
            <w:pPr>
              <w:keepLines w:val="0"/>
              <w:pageBreakBefore w:val="0"/>
              <w:kinsoku/>
              <w:wordWrap/>
              <w:overflowPunct/>
              <w:topLinePunct w:val="0"/>
              <w:bidi w:val="0"/>
              <w:adjustRightInd w:val="0"/>
              <w:snapToGrid w:val="0"/>
              <w:spacing w:line="360" w:lineRule="auto"/>
              <w:ind w:firstLine="420" w:firstLineChars="200"/>
              <w:rPr>
                <w:rFonts w:hint="eastAsia"/>
                <w:highlight w:val="none"/>
              </w:rPr>
            </w:pPr>
            <w:r>
              <w:rPr>
                <w:rFonts w:hint="eastAsia"/>
                <w:highlight w:val="none"/>
              </w:rPr>
              <w:t>合同的评审在合同签订之前时行，确保顾客的各项要求合理、明确、书面化，双方协调一致，企业有能力满足。</w:t>
            </w:r>
          </w:p>
          <w:p>
            <w:pPr>
              <w:keepLines w:val="0"/>
              <w:pageBreakBefore w:val="0"/>
              <w:kinsoku/>
              <w:wordWrap/>
              <w:overflowPunct/>
              <w:topLinePunct w:val="0"/>
              <w:bidi w:val="0"/>
              <w:adjustRightInd w:val="0"/>
              <w:snapToGrid w:val="0"/>
              <w:spacing w:line="360" w:lineRule="auto"/>
              <w:ind w:firstLine="420" w:firstLineChars="200"/>
              <w:rPr>
                <w:rFonts w:hint="eastAsia"/>
                <w:highlight w:val="none"/>
              </w:rPr>
            </w:pPr>
            <w:r>
              <w:rPr>
                <w:rFonts w:hint="eastAsia"/>
                <w:highlight w:val="none"/>
              </w:rPr>
              <w:t>在合同评审中，评审人员根据合同中有关内容和要求提出疑问或修改建议时，由</w:t>
            </w:r>
            <w:r>
              <w:rPr>
                <w:rFonts w:hint="eastAsia"/>
                <w:highlight w:val="none"/>
                <w:lang w:val="en-US" w:eastAsia="zh-CN"/>
              </w:rPr>
              <w:t>该部门</w:t>
            </w:r>
            <w:r>
              <w:rPr>
                <w:rFonts w:hint="eastAsia"/>
                <w:highlight w:val="none"/>
              </w:rPr>
              <w:t>负责与顾客联络沟通，征求其书面意见，经协商确定后的变动事项需在相应合同管理台账中的备注栏中予以记录或者在合同进行标准。</w:t>
            </w:r>
          </w:p>
          <w:p>
            <w:pPr>
              <w:keepLines w:val="0"/>
              <w:pageBreakBefore w:val="0"/>
              <w:kinsoku/>
              <w:wordWrap/>
              <w:overflowPunct/>
              <w:topLinePunct w:val="0"/>
              <w:bidi w:val="0"/>
              <w:adjustRightInd w:val="0"/>
              <w:snapToGrid w:val="0"/>
              <w:spacing w:line="360" w:lineRule="auto"/>
              <w:ind w:firstLine="420"/>
              <w:rPr>
                <w:rFonts w:hint="eastAsia"/>
                <w:highlight w:val="none"/>
                <w:lang w:val="en-US" w:eastAsia="zh-CN"/>
              </w:rPr>
            </w:pPr>
            <w:r>
              <w:rPr>
                <w:rFonts w:hint="eastAsia"/>
                <w:highlight w:val="none"/>
                <w:lang w:val="en-US" w:eastAsia="zh-CN"/>
              </w:rPr>
              <w:t>抽查合同评审记录表——</w:t>
            </w:r>
          </w:p>
          <w:p>
            <w:pPr>
              <w:pStyle w:val="2"/>
              <w:keepLines w:val="0"/>
              <w:pageBreakBefore w:val="0"/>
              <w:kinsoku/>
              <w:wordWrap/>
              <w:overflowPunct/>
              <w:topLinePunct w:val="0"/>
              <w:bidi w:val="0"/>
              <w:spacing w:line="360" w:lineRule="auto"/>
              <w:ind w:firstLine="460" w:firstLineChars="200"/>
              <w:rPr>
                <w:rFonts w:hint="eastAsia"/>
                <w:highlight w:val="none"/>
                <w:lang w:val="en-US" w:eastAsia="zh-CN"/>
              </w:rPr>
            </w:pPr>
            <w:r>
              <w:rPr>
                <w:rFonts w:hint="eastAsia"/>
                <w:highlight w:val="none"/>
                <w:lang w:val="en-US" w:eastAsia="zh-CN"/>
              </w:rPr>
              <w:t>合同评审以在合同上签字盖章的形式进行，产品和服务要求的确认符合标准要求，</w:t>
            </w:r>
          </w:p>
          <w:p>
            <w:pPr>
              <w:pStyle w:val="5"/>
              <w:ind w:firstLine="420" w:firstLineChars="200"/>
              <w:rPr>
                <w:rFonts w:hint="eastAsia"/>
                <w:highlight w:val="none"/>
                <w:lang w:val="en-US" w:eastAsia="zh-CN"/>
              </w:rPr>
            </w:pPr>
            <w:r>
              <w:rPr>
                <w:rFonts w:hint="eastAsia" w:ascii="宋体" w:hAnsi="宋体" w:eastAsia="宋体" w:cs="宋体"/>
                <w:b w:val="0"/>
                <w:bCs w:val="0"/>
                <w:sz w:val="21"/>
                <w:szCs w:val="21"/>
                <w:highlight w:val="none"/>
                <w:lang w:val="en-US" w:eastAsia="zh-CN"/>
              </w:rPr>
              <w:t>合同在执行过程中没有更改。</w:t>
            </w:r>
          </w:p>
        </w:tc>
        <w:tc>
          <w:tcPr>
            <w:tcW w:w="583"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19" w:type="dxa"/>
            <w:noWrap w:val="0"/>
            <w:vAlign w:val="top"/>
          </w:tcPr>
          <w:p>
            <w:pPr>
              <w:pStyle w:val="3"/>
              <w:keepLines w:val="0"/>
              <w:pageBreakBefore w:val="0"/>
              <w:kinsoku/>
              <w:wordWrap/>
              <w:overflowPunct/>
              <w:topLinePunct w:val="0"/>
              <w:bidi w:val="0"/>
              <w:spacing w:line="360" w:lineRule="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顾客满意</w:t>
            </w:r>
          </w:p>
        </w:tc>
        <w:tc>
          <w:tcPr>
            <w:tcW w:w="927" w:type="dxa"/>
            <w:noWrap w:val="0"/>
            <w:vAlign w:val="top"/>
          </w:tcPr>
          <w:p>
            <w:pPr>
              <w:pStyle w:val="4"/>
              <w:keepLines w:val="0"/>
              <w:pageBreakBefore w:val="0"/>
              <w:kinsoku/>
              <w:wordWrap/>
              <w:overflowPunct/>
              <w:topLinePunct w:val="0"/>
              <w:bidi w:val="0"/>
              <w:spacing w:line="360" w:lineRule="auto"/>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Q9.1.2</w:t>
            </w:r>
          </w:p>
        </w:tc>
        <w:tc>
          <w:tcPr>
            <w:tcW w:w="12054" w:type="dxa"/>
            <w:noWrap w:val="0"/>
            <w:vAlign w:val="top"/>
          </w:tcPr>
          <w:p>
            <w:pPr>
              <w:bidi w:val="0"/>
              <w:rPr>
                <w:rFonts w:hint="eastAsia" w:ascii="楷体" w:hAnsi="楷体" w:eastAsia="楷体" w:cs="楷体"/>
                <w:sz w:val="21"/>
                <w:szCs w:val="21"/>
                <w:highlight w:val="none"/>
              </w:rPr>
            </w:pPr>
          </w:p>
          <w:p>
            <w:pPr>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公司制定了《顾客满意度管理程序》，对</w:t>
            </w:r>
            <w:r>
              <w:rPr>
                <w:rFonts w:hint="eastAsia" w:ascii="宋体" w:hAnsi="宋体" w:eastAsia="宋体" w:cs="宋体"/>
                <w:sz w:val="21"/>
                <w:szCs w:val="21"/>
                <w:highlight w:val="none"/>
              </w:rPr>
              <w:t>顾客满意度调查的方式方法、调查分析等做相应规定，</w:t>
            </w:r>
            <w:r>
              <w:rPr>
                <w:rFonts w:hint="eastAsia" w:ascii="宋体" w:hAnsi="宋体" w:eastAsia="宋体" w:cs="宋体"/>
                <w:sz w:val="21"/>
                <w:szCs w:val="21"/>
                <w:highlight w:val="none"/>
                <w:lang w:val="en-US" w:eastAsia="zh-CN"/>
              </w:rPr>
              <w:t>该部门</w:t>
            </w:r>
            <w:r>
              <w:rPr>
                <w:rFonts w:hint="eastAsia" w:ascii="宋体" w:hAnsi="宋体" w:eastAsia="宋体" w:cs="宋体"/>
                <w:sz w:val="21"/>
                <w:szCs w:val="21"/>
                <w:highlight w:val="none"/>
              </w:rPr>
              <w:t>为主管部门。</w:t>
            </w:r>
          </w:p>
          <w:p>
            <w:pPr>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val="en-US" w:eastAsia="zh-CN"/>
              </w:rPr>
              <w:t>阅相关</w:t>
            </w:r>
            <w:r>
              <w:rPr>
                <w:rFonts w:hint="eastAsia" w:ascii="宋体" w:hAnsi="宋体" w:eastAsia="宋体" w:cs="宋体"/>
                <w:sz w:val="21"/>
                <w:szCs w:val="21"/>
                <w:highlight w:val="none"/>
              </w:rPr>
              <w:t>记录</w:t>
            </w:r>
            <w:r>
              <w:rPr>
                <w:rFonts w:hint="eastAsia" w:ascii="宋体" w:hAnsi="宋体" w:eastAsia="宋体" w:cs="宋体"/>
                <w:sz w:val="21"/>
                <w:szCs w:val="21"/>
                <w:highlight w:val="none"/>
                <w:lang w:eastAsia="zh-CN"/>
              </w:rPr>
              <w:t>——</w:t>
            </w:r>
          </w:p>
          <w:p>
            <w:pPr>
              <w:keepLines w:val="0"/>
              <w:pageBreakBefore w:val="0"/>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今年5月10日</w:t>
            </w:r>
            <w:r>
              <w:rPr>
                <w:rFonts w:hint="eastAsia" w:ascii="宋体" w:hAnsi="宋体" w:eastAsia="宋体" w:cs="宋体"/>
                <w:sz w:val="21"/>
                <w:szCs w:val="21"/>
                <w:highlight w:val="none"/>
              </w:rPr>
              <w:t>向</w:t>
            </w:r>
            <w:r>
              <w:rPr>
                <w:rFonts w:hint="eastAsia" w:ascii="宋体" w:hAnsi="宋体" w:eastAsia="宋体" w:cs="宋体"/>
                <w:sz w:val="21"/>
                <w:szCs w:val="21"/>
                <w:highlight w:val="none"/>
                <w:lang w:val="en-US" w:eastAsia="zh-CN"/>
              </w:rPr>
              <w:t>所有顾客</w:t>
            </w:r>
            <w:r>
              <w:rPr>
                <w:rFonts w:hint="eastAsia" w:ascii="宋体" w:hAnsi="宋体" w:eastAsia="宋体" w:cs="宋体"/>
                <w:sz w:val="21"/>
                <w:szCs w:val="21"/>
                <w:highlight w:val="none"/>
              </w:rPr>
              <w:t>发送</w:t>
            </w:r>
            <w:r>
              <w:rPr>
                <w:rFonts w:hint="eastAsia" w:ascii="宋体" w:hAnsi="宋体" w:eastAsia="宋体" w:cs="宋体"/>
                <w:sz w:val="21"/>
                <w:szCs w:val="21"/>
                <w:highlight w:val="none"/>
                <w:lang w:val="en-US" w:eastAsia="zh-CN"/>
              </w:rPr>
              <w:t>了电子版或纸质版的</w:t>
            </w:r>
            <w:r>
              <w:rPr>
                <w:rFonts w:hint="eastAsia" w:ascii="宋体" w:hAnsi="宋体" w:eastAsia="宋体" w:cs="宋体"/>
                <w:sz w:val="21"/>
                <w:szCs w:val="21"/>
                <w:highlight w:val="none"/>
              </w:rPr>
              <w:t>《顾客意见/建议/信息调查表》</w:t>
            </w:r>
            <w:r>
              <w:rPr>
                <w:rFonts w:hint="eastAsia" w:ascii="宋体" w:hAnsi="宋体" w:eastAsia="宋体" w:cs="宋体"/>
                <w:sz w:val="21"/>
                <w:szCs w:val="21"/>
                <w:highlight w:val="none"/>
                <w:lang w:val="en-US" w:eastAsia="zh-CN"/>
              </w:rPr>
              <w:t>共15份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内容包括：服装价格、服装质量、售后服务质量、售后服务效率等等6个方面。</w:t>
            </w:r>
          </w:p>
          <w:p>
            <w:pPr>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截止到5月15日收回</w:t>
            </w:r>
            <w:r>
              <w:rPr>
                <w:rFonts w:hint="eastAsia" w:ascii="宋体" w:hAnsi="宋体" w:eastAsia="宋体" w:cs="宋体"/>
                <w:sz w:val="21"/>
                <w:szCs w:val="21"/>
                <w:highlight w:val="none"/>
              </w:rPr>
              <w:t>反馈</w:t>
            </w:r>
            <w:r>
              <w:rPr>
                <w:rFonts w:hint="eastAsia" w:ascii="宋体" w:hAnsi="宋体" w:eastAsia="宋体" w:cs="宋体"/>
                <w:sz w:val="21"/>
                <w:szCs w:val="21"/>
                <w:highlight w:val="none"/>
                <w:lang w:val="en-US" w:eastAsia="zh-CN"/>
              </w:rPr>
              <w:t>12份</w:t>
            </w:r>
            <w:r>
              <w:rPr>
                <w:rFonts w:hint="eastAsia" w:ascii="宋体" w:hAnsi="宋体" w:eastAsia="宋体" w:cs="宋体"/>
                <w:sz w:val="21"/>
                <w:szCs w:val="21"/>
                <w:highlight w:val="none"/>
              </w:rPr>
              <w:t>，利用加权计算法进行统计，得出顾客满意度</w:t>
            </w:r>
            <w:r>
              <w:rPr>
                <w:rFonts w:hint="eastAsia" w:ascii="宋体" w:hAnsi="宋体" w:eastAsia="宋体" w:cs="宋体"/>
                <w:sz w:val="21"/>
                <w:szCs w:val="21"/>
                <w:highlight w:val="none"/>
                <w:lang w:val="en-US" w:eastAsia="zh-CN"/>
              </w:rPr>
              <w:t>为92%</w:t>
            </w:r>
            <w:r>
              <w:rPr>
                <w:rFonts w:hint="eastAsia" w:ascii="宋体" w:hAnsi="宋体" w:eastAsia="宋体" w:cs="宋体"/>
                <w:sz w:val="21"/>
                <w:szCs w:val="21"/>
                <w:highlight w:val="none"/>
              </w:rPr>
              <w:t>。</w:t>
            </w:r>
          </w:p>
          <w:p>
            <w:pPr>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上述数据表明：今年上半年近5个月</w:t>
            </w:r>
            <w:r>
              <w:rPr>
                <w:rFonts w:hint="eastAsia" w:ascii="宋体" w:hAnsi="宋体" w:eastAsia="宋体" w:cs="宋体"/>
                <w:sz w:val="21"/>
                <w:szCs w:val="21"/>
                <w:highlight w:val="none"/>
              </w:rPr>
              <w:t>达到了目标要求。</w:t>
            </w:r>
          </w:p>
        </w:tc>
        <w:tc>
          <w:tcPr>
            <w:tcW w:w="583" w:type="dxa"/>
            <w:noWrap w:val="0"/>
            <w:vAlign w:val="center"/>
          </w:tcPr>
          <w:p>
            <w:pPr>
              <w:keepLines w:val="0"/>
              <w:pageBreakBefore w:val="0"/>
              <w:kinsoku/>
              <w:wordWrap/>
              <w:overflowPunct/>
              <w:topLinePunct w:val="0"/>
              <w:bidi w:val="0"/>
              <w:spacing w:line="360" w:lineRule="auto"/>
              <w:rPr>
                <w:rFonts w:hint="eastAsia" w:ascii="宋体" w:hAnsi="宋体" w:eastAsia="宋体" w:cs="宋体"/>
                <w:sz w:val="21"/>
                <w:szCs w:val="21"/>
                <w:highlight w:val="none"/>
                <w:lang w:val="en-US" w:eastAsia="zh-CN"/>
              </w:rPr>
            </w:pPr>
          </w:p>
        </w:tc>
      </w:tr>
    </w:tbl>
    <w:p>
      <w:pPr>
        <w:pStyle w:val="2"/>
      </w:pPr>
    </w:p>
    <w:p>
      <w:pPr>
        <w:pStyle w:val="2"/>
      </w:pPr>
    </w:p>
    <w:p>
      <w:pPr>
        <w:pStyle w:val="2"/>
      </w:pPr>
    </w:p>
    <w:tbl>
      <w:tblPr>
        <w:tblStyle w:val="11"/>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959"/>
        <w:gridCol w:w="1202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6" w:type="pct"/>
            <w:vMerge w:val="restart"/>
            <w:noWrap w:val="0"/>
            <w:vAlign w:val="center"/>
          </w:tcPr>
          <w:p>
            <w:pPr>
              <w:spacing w:before="120"/>
              <w:rPr>
                <w:color w:val="auto"/>
                <w:highlight w:val="none"/>
              </w:rPr>
            </w:pPr>
            <w:r>
              <w:rPr>
                <w:rFonts w:hint="eastAsia" w:cs="宋体"/>
                <w:color w:val="auto"/>
                <w:highlight w:val="none"/>
              </w:rPr>
              <w:t>过程与活动、抽样计划</w:t>
            </w:r>
          </w:p>
        </w:tc>
        <w:tc>
          <w:tcPr>
            <w:tcW w:w="323" w:type="pct"/>
            <w:vMerge w:val="restart"/>
            <w:noWrap w:val="0"/>
            <w:vAlign w:val="center"/>
          </w:tcPr>
          <w:p>
            <w:pPr>
              <w:rPr>
                <w:color w:val="auto"/>
                <w:highlight w:val="none"/>
              </w:rPr>
            </w:pPr>
            <w:r>
              <w:rPr>
                <w:rFonts w:hint="eastAsia" w:cs="宋体"/>
                <w:color w:val="auto"/>
                <w:highlight w:val="none"/>
              </w:rPr>
              <w:t>涉及</w:t>
            </w:r>
          </w:p>
          <w:p>
            <w:pPr>
              <w:rPr>
                <w:color w:val="auto"/>
                <w:highlight w:val="none"/>
              </w:rPr>
            </w:pPr>
            <w:r>
              <w:rPr>
                <w:rFonts w:hint="eastAsia" w:cs="宋体"/>
                <w:color w:val="auto"/>
                <w:highlight w:val="none"/>
              </w:rPr>
              <w:t>条款</w:t>
            </w:r>
          </w:p>
        </w:tc>
        <w:tc>
          <w:tcPr>
            <w:tcW w:w="4049" w:type="pct"/>
            <w:noWrap w:val="0"/>
            <w:vAlign w:val="center"/>
          </w:tcPr>
          <w:p>
            <w:pPr>
              <w:rPr>
                <w:rFonts w:hint="eastAsia" w:eastAsia="宋体"/>
                <w:color w:val="auto"/>
                <w:highlight w:val="none"/>
                <w:lang w:eastAsia="zh-CN"/>
              </w:rPr>
            </w:pPr>
            <w:r>
              <w:rPr>
                <w:rFonts w:hint="eastAsia" w:cs="宋体"/>
                <w:color w:val="auto"/>
                <w:highlight w:val="none"/>
              </w:rPr>
              <w:t>受审核部</w:t>
            </w:r>
            <w:r>
              <w:rPr>
                <w:rFonts w:hint="eastAsia" w:cs="宋体"/>
                <w:color w:val="auto"/>
                <w:sz w:val="21"/>
                <w:szCs w:val="21"/>
                <w:highlight w:val="none"/>
              </w:rPr>
              <w:t>门：</w:t>
            </w:r>
            <w:r>
              <w:rPr>
                <w:rFonts w:hint="eastAsia" w:cs="宋体"/>
                <w:color w:val="auto"/>
                <w:sz w:val="21"/>
                <w:szCs w:val="21"/>
                <w:highlight w:val="none"/>
                <w:lang w:val="en-US" w:eastAsia="zh-CN"/>
              </w:rPr>
              <w:t>生产技术部（含车间及质检）</w:t>
            </w:r>
            <w:r>
              <w:rPr>
                <w:color w:val="auto"/>
                <w:sz w:val="21"/>
                <w:szCs w:val="21"/>
                <w:highlight w:val="none"/>
              </w:rPr>
              <w:t xml:space="preserve">  </w:t>
            </w:r>
            <w:r>
              <w:rPr>
                <w:rFonts w:hint="eastAsia"/>
                <w:color w:val="auto"/>
                <w:sz w:val="21"/>
                <w:szCs w:val="21"/>
                <w:highlight w:val="none"/>
                <w:lang w:val="en-US" w:eastAsia="zh-CN"/>
              </w:rPr>
              <w:t xml:space="preserve">    </w:t>
            </w:r>
            <w:r>
              <w:rPr>
                <w:rFonts w:hint="eastAsia" w:cs="宋体"/>
                <w:color w:val="auto"/>
                <w:sz w:val="21"/>
                <w:szCs w:val="21"/>
                <w:highlight w:val="none"/>
              </w:rPr>
              <w:t>主管领导：</w:t>
            </w:r>
            <w:r>
              <w:rPr>
                <w:rFonts w:hint="eastAsia"/>
                <w:color w:val="auto"/>
                <w:sz w:val="21"/>
                <w:szCs w:val="21"/>
                <w:highlight w:val="none"/>
                <w:lang w:val="en-US" w:eastAsia="zh-CN"/>
              </w:rPr>
              <w:t>孙瑞玲</w:t>
            </w:r>
            <w:r>
              <w:rPr>
                <w:rFonts w:hint="eastAsia" w:cs="宋体"/>
                <w:color w:val="auto"/>
                <w:sz w:val="21"/>
                <w:szCs w:val="21"/>
                <w:highlight w:val="none"/>
              </w:rPr>
              <w:t xml:space="preserve">  </w:t>
            </w:r>
            <w:r>
              <w:rPr>
                <w:rFonts w:hint="eastAsia" w:cs="宋体"/>
                <w:color w:val="auto"/>
                <w:highlight w:val="none"/>
              </w:rPr>
              <w:t xml:space="preserve"> </w:t>
            </w:r>
          </w:p>
        </w:tc>
        <w:tc>
          <w:tcPr>
            <w:tcW w:w="190" w:type="pct"/>
            <w:vMerge w:val="restart"/>
            <w:noWrap w:val="0"/>
            <w:vAlign w:val="center"/>
          </w:tcPr>
          <w:p>
            <w:pPr>
              <w:rPr>
                <w:color w:val="auto"/>
                <w:highlight w:val="none"/>
              </w:rPr>
            </w:pPr>
            <w:r>
              <w:rPr>
                <w:rFonts w:hint="eastAsia" w:cs="宋体"/>
                <w:color w:val="auto"/>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6" w:type="pct"/>
            <w:vMerge w:val="continue"/>
            <w:noWrap w:val="0"/>
            <w:vAlign w:val="center"/>
          </w:tcPr>
          <w:p>
            <w:pPr>
              <w:rPr>
                <w:color w:val="auto"/>
                <w:highlight w:val="none"/>
              </w:rPr>
            </w:pPr>
          </w:p>
        </w:tc>
        <w:tc>
          <w:tcPr>
            <w:tcW w:w="323" w:type="pct"/>
            <w:vMerge w:val="continue"/>
            <w:noWrap w:val="0"/>
            <w:vAlign w:val="center"/>
          </w:tcPr>
          <w:p>
            <w:pPr>
              <w:rPr>
                <w:color w:val="auto"/>
                <w:highlight w:val="none"/>
              </w:rPr>
            </w:pPr>
          </w:p>
        </w:tc>
        <w:tc>
          <w:tcPr>
            <w:tcW w:w="4049" w:type="pct"/>
            <w:noWrap w:val="0"/>
            <w:vAlign w:val="center"/>
          </w:tcPr>
          <w:p>
            <w:pPr>
              <w:spacing w:before="120"/>
              <w:rPr>
                <w:rFonts w:hint="default" w:eastAsia="宋体"/>
                <w:color w:val="auto"/>
                <w:highlight w:val="none"/>
                <w:lang w:val="en-US" w:eastAsia="zh-CN"/>
              </w:rPr>
            </w:pPr>
            <w:r>
              <w:rPr>
                <w:rFonts w:hint="eastAsia" w:cs="宋体"/>
                <w:color w:val="auto"/>
                <w:highlight w:val="none"/>
              </w:rPr>
              <w:t>审核员：</w:t>
            </w:r>
            <w:r>
              <w:rPr>
                <w:rFonts w:hint="eastAsia" w:cs="宋体"/>
                <w:color w:val="auto"/>
                <w:highlight w:val="none"/>
                <w:lang w:val="en-US" w:eastAsia="zh-CN"/>
              </w:rPr>
              <w:t>刘玉兰</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s="宋体"/>
                <w:color w:val="auto"/>
                <w:highlight w:val="none"/>
              </w:rPr>
              <w:t>审核时间：</w:t>
            </w:r>
            <w:r>
              <w:rPr>
                <w:rFonts w:hint="eastAsia" w:cs="宋体"/>
                <w:color w:val="auto"/>
                <w:highlight w:val="none"/>
                <w:lang w:val="en-US" w:eastAsia="zh-CN"/>
              </w:rPr>
              <w:t>2021.5.19</w:t>
            </w:r>
          </w:p>
        </w:tc>
        <w:tc>
          <w:tcPr>
            <w:tcW w:w="190" w:type="pct"/>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6" w:type="pct"/>
            <w:vMerge w:val="continue"/>
            <w:noWrap w:val="0"/>
            <w:vAlign w:val="center"/>
          </w:tcPr>
          <w:p>
            <w:pPr>
              <w:rPr>
                <w:color w:val="auto"/>
                <w:highlight w:val="none"/>
              </w:rPr>
            </w:pPr>
          </w:p>
        </w:tc>
        <w:tc>
          <w:tcPr>
            <w:tcW w:w="323" w:type="pct"/>
            <w:vMerge w:val="continue"/>
            <w:noWrap w:val="0"/>
            <w:vAlign w:val="center"/>
          </w:tcPr>
          <w:p>
            <w:pPr>
              <w:rPr>
                <w:color w:val="auto"/>
                <w:highlight w:val="none"/>
              </w:rPr>
            </w:pPr>
          </w:p>
        </w:tc>
        <w:tc>
          <w:tcPr>
            <w:tcW w:w="4049"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color w:val="auto"/>
                <w:highlight w:val="none"/>
              </w:rPr>
            </w:pPr>
            <w:r>
              <w:rPr>
                <w:rFonts w:hint="eastAsia"/>
                <w:color w:val="auto"/>
                <w:highlight w:val="none"/>
              </w:rPr>
              <w:t>审核条款：</w:t>
            </w:r>
            <w:r>
              <w:rPr>
                <w:rFonts w:hint="eastAsia" w:ascii="宋体" w:hAnsi="宋体" w:eastAsia="宋体" w:cs="宋体"/>
                <w:b w:val="0"/>
                <w:bCs/>
                <w:color w:val="auto"/>
                <w:sz w:val="21"/>
                <w:szCs w:val="21"/>
                <w:lang w:val="en-US" w:eastAsia="zh-CN"/>
              </w:rPr>
              <w:t>QS6.2</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highlight w:val="none"/>
                <w:lang w:val="en-US" w:eastAsia="zh-CN"/>
              </w:rPr>
              <w:t>S</w:t>
            </w:r>
            <w:r>
              <w:rPr>
                <w:rFonts w:hint="eastAsia" w:ascii="宋体" w:hAnsi="宋体" w:eastAsia="宋体" w:cs="宋体"/>
                <w:b w:val="0"/>
                <w:bCs/>
                <w:color w:val="auto"/>
                <w:sz w:val="21"/>
                <w:szCs w:val="21"/>
                <w:highlight w:val="none"/>
              </w:rPr>
              <w:t>6.1.2</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lang w:val="en-US" w:eastAsia="zh-CN"/>
              </w:rPr>
              <w:t>Q</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7.1.3</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7.1.4</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7.1.5</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8.5.1</w:t>
            </w:r>
            <w:r>
              <w:rPr>
                <w:rFonts w:hint="eastAsia" w:ascii="宋体" w:hAnsi="宋体" w:eastAsia="宋体" w:cs="宋体"/>
                <w:b w:val="0"/>
                <w:bCs/>
                <w:color w:val="auto"/>
                <w:sz w:val="21"/>
                <w:szCs w:val="21"/>
                <w:lang w:eastAsia="zh-CN"/>
              </w:rPr>
              <w:t>）</w:t>
            </w:r>
            <w:r>
              <w:rPr>
                <w:rFonts w:hint="eastAsia" w:ascii="宋体" w:hAnsi="宋体" w:cs="宋体"/>
                <w:b w:val="0"/>
                <w:bCs/>
                <w:color w:val="auto"/>
                <w:sz w:val="21"/>
                <w:szCs w:val="21"/>
                <w:lang w:eastAsia="zh-CN"/>
              </w:rPr>
              <w:t>。</w:t>
            </w:r>
          </w:p>
        </w:tc>
        <w:tc>
          <w:tcPr>
            <w:tcW w:w="190" w:type="pct"/>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6" w:type="pct"/>
            <w:noWrap w:val="0"/>
            <w:vAlign w:val="center"/>
          </w:tcPr>
          <w:p>
            <w:pPr>
              <w:rPr>
                <w:color w:val="auto"/>
                <w:highlight w:val="none"/>
              </w:rPr>
            </w:pPr>
            <w:r>
              <w:rPr>
                <w:rFonts w:hint="eastAsia" w:cs="宋体"/>
                <w:color w:val="auto"/>
                <w:highlight w:val="none"/>
              </w:rPr>
              <w:t>目标和方案</w:t>
            </w:r>
          </w:p>
        </w:tc>
        <w:tc>
          <w:tcPr>
            <w:tcW w:w="323" w:type="pct"/>
            <w:noWrap w:val="0"/>
            <w:vAlign w:val="center"/>
          </w:tcPr>
          <w:p>
            <w:pPr>
              <w:rPr>
                <w:color w:val="auto"/>
                <w:highlight w:val="none"/>
              </w:rPr>
            </w:pPr>
            <w:r>
              <w:rPr>
                <w:rFonts w:hint="eastAsia"/>
                <w:color w:val="auto"/>
                <w:highlight w:val="none"/>
                <w:lang w:val="en-US" w:eastAsia="zh-CN"/>
              </w:rPr>
              <w:t>Q</w:t>
            </w:r>
            <w:r>
              <w:rPr>
                <w:rFonts w:hint="eastAsia"/>
                <w:color w:val="auto"/>
                <w:highlight w:val="none"/>
                <w:lang w:eastAsia="zh-CN"/>
              </w:rPr>
              <w:t>O</w:t>
            </w:r>
            <w:r>
              <w:rPr>
                <w:color w:val="auto"/>
                <w:highlight w:val="none"/>
              </w:rPr>
              <w:t>6.2</w:t>
            </w:r>
          </w:p>
        </w:tc>
        <w:tc>
          <w:tcPr>
            <w:tcW w:w="40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2021年度</w:t>
            </w:r>
            <w:r>
              <w:rPr>
                <w:rFonts w:hint="eastAsia" w:ascii="宋体" w:hAnsi="宋体" w:eastAsia="宋体" w:cs="宋体"/>
                <w:color w:val="auto"/>
                <w:sz w:val="21"/>
                <w:szCs w:val="21"/>
                <w:highlight w:val="none"/>
              </w:rPr>
              <w:t xml:space="preserve">目标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成品一次交验合格率≥98%</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2）错检、漏检数为0</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2.职业健康</w:t>
            </w:r>
            <w:r>
              <w:rPr>
                <w:rFonts w:hint="eastAsia" w:ascii="宋体" w:hAnsi="宋体" w:eastAsia="宋体" w:cs="宋体"/>
                <w:color w:val="auto"/>
                <w:sz w:val="21"/>
                <w:szCs w:val="21"/>
                <w:highlight w:val="none"/>
              </w:rPr>
              <w:t>安全目标、</w:t>
            </w:r>
            <w:r>
              <w:rPr>
                <w:rFonts w:hint="eastAsia" w:ascii="宋体" w:hAnsi="宋体" w:eastAsia="宋体" w:cs="宋体"/>
                <w:bCs/>
                <w:color w:val="auto"/>
                <w:sz w:val="21"/>
                <w:szCs w:val="21"/>
                <w:highlight w:val="none"/>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机械伤害事故发生率为0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火灾事故</w:t>
            </w:r>
            <w:r>
              <w:rPr>
                <w:rFonts w:hint="eastAsia" w:ascii="宋体" w:hAnsi="宋体" w:eastAsia="宋体" w:cs="宋体"/>
                <w:color w:val="auto"/>
                <w:sz w:val="21"/>
                <w:szCs w:val="21"/>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管理方案</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1）制定的措施</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a</w:t>
            </w:r>
            <w:r>
              <w:rPr>
                <w:rFonts w:hint="eastAsia" w:ascii="宋体" w:hAnsi="宋体" w:eastAsia="宋体" w:cs="宋体"/>
                <w:bCs/>
                <w:color w:val="auto"/>
                <w:sz w:val="21"/>
                <w:szCs w:val="21"/>
                <w:highlight w:val="none"/>
              </w:rPr>
              <w:t>定期对生产设备进行维护保养；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b</w:t>
            </w:r>
            <w:r>
              <w:rPr>
                <w:rFonts w:hint="eastAsia" w:ascii="宋体" w:hAnsi="宋体" w:eastAsia="宋体" w:cs="宋体"/>
                <w:bCs/>
                <w:color w:val="auto"/>
                <w:sz w:val="21"/>
                <w:szCs w:val="21"/>
                <w:highlight w:val="none"/>
              </w:rPr>
              <w:t>对操作人员进行安全操作培训；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c要求</w:t>
            </w:r>
            <w:r>
              <w:rPr>
                <w:rFonts w:hint="eastAsia" w:ascii="宋体" w:hAnsi="宋体" w:eastAsia="宋体" w:cs="宋体"/>
                <w:bCs/>
                <w:color w:val="auto"/>
                <w:sz w:val="21"/>
                <w:szCs w:val="21"/>
                <w:highlight w:val="none"/>
              </w:rPr>
              <w:t>操作人员</w:t>
            </w:r>
            <w:r>
              <w:rPr>
                <w:rFonts w:hint="eastAsia" w:ascii="宋体" w:hAnsi="宋体" w:eastAsia="宋体" w:cs="宋体"/>
                <w:bCs/>
                <w:color w:val="auto"/>
                <w:sz w:val="21"/>
                <w:szCs w:val="21"/>
                <w:highlight w:val="none"/>
                <w:lang w:val="en-US" w:eastAsia="zh-CN"/>
              </w:rPr>
              <w:t>严格按各类设备的说明书进行操作</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d作业区及库房严禁吸烟；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e灭火器保持完好。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完成时间：</w:t>
            </w:r>
            <w:r>
              <w:rPr>
                <w:rFonts w:hint="eastAsia" w:ascii="宋体" w:hAnsi="宋体" w:eastAsia="宋体" w:cs="宋体"/>
                <w:color w:val="auto"/>
                <w:sz w:val="21"/>
                <w:szCs w:val="21"/>
                <w:highlight w:val="none"/>
                <w:lang w:val="en-US" w:eastAsia="zh-CN"/>
              </w:rPr>
              <w:t>2021.12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费用：</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00元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责任部门：</w:t>
            </w:r>
            <w:r>
              <w:rPr>
                <w:rFonts w:hint="eastAsia" w:ascii="宋体" w:hAnsi="宋体" w:eastAsia="宋体" w:cs="宋体"/>
                <w:color w:val="auto"/>
                <w:sz w:val="21"/>
                <w:szCs w:val="21"/>
                <w:highlight w:val="none"/>
                <w:lang w:val="en-US" w:eastAsia="zh-CN"/>
              </w:rPr>
              <w:t>生产技术部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监控部门：</w:t>
            </w:r>
            <w:r>
              <w:rPr>
                <w:rFonts w:hint="eastAsia" w:ascii="宋体" w:hAnsi="宋体" w:eastAsia="宋体" w:cs="宋体"/>
                <w:color w:val="auto"/>
                <w:sz w:val="21"/>
                <w:szCs w:val="21"/>
                <w:highlight w:val="none"/>
                <w:lang w:val="en-US" w:eastAsia="zh-CN"/>
              </w:rPr>
              <w:t>办公室。</w:t>
            </w:r>
          </w:p>
        </w:tc>
        <w:tc>
          <w:tcPr>
            <w:tcW w:w="190" w:type="pct"/>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36" w:type="pct"/>
            <w:noWrap w:val="0"/>
            <w:vAlign w:val="center"/>
          </w:tcPr>
          <w:p>
            <w:pPr>
              <w:rPr>
                <w:color w:val="auto"/>
                <w:highlight w:val="none"/>
              </w:rPr>
            </w:pPr>
            <w:r>
              <w:rPr>
                <w:rFonts w:hint="eastAsia" w:cs="宋体"/>
                <w:color w:val="auto"/>
                <w:highlight w:val="none"/>
              </w:rPr>
              <w:t>危险源辨识评价和控制措施的确定</w:t>
            </w:r>
          </w:p>
        </w:tc>
        <w:tc>
          <w:tcPr>
            <w:tcW w:w="323" w:type="pct"/>
            <w:noWrap w:val="0"/>
            <w:vAlign w:val="center"/>
          </w:tcPr>
          <w:p>
            <w:pPr>
              <w:rPr>
                <w:color w:val="auto"/>
                <w:highlight w:val="none"/>
              </w:rPr>
            </w:pPr>
            <w:r>
              <w:rPr>
                <w:rFonts w:hint="eastAsia"/>
                <w:color w:val="auto"/>
                <w:highlight w:val="none"/>
                <w:lang w:eastAsia="zh-CN"/>
              </w:rPr>
              <w:t>O</w:t>
            </w:r>
            <w:r>
              <w:rPr>
                <w:color w:val="auto"/>
                <w:highlight w:val="none"/>
              </w:rPr>
              <w:t>6.1.2</w:t>
            </w:r>
          </w:p>
        </w:tc>
        <w:tc>
          <w:tcPr>
            <w:tcW w:w="40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按照公司《危险源辨识及风险评价控制程序》，该部门开展相关工作结果如下：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危险源辨识清单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涉及</w:t>
            </w:r>
            <w:r>
              <w:rPr>
                <w:rFonts w:hint="eastAsia" w:ascii="宋体" w:hAnsi="宋体" w:eastAsia="宋体" w:cs="宋体"/>
                <w:color w:val="auto"/>
                <w:sz w:val="21"/>
                <w:szCs w:val="21"/>
                <w:highlight w:val="none"/>
              </w:rPr>
              <w:t>办公</w:t>
            </w:r>
            <w:r>
              <w:rPr>
                <w:rFonts w:hint="eastAsia" w:ascii="宋体" w:hAnsi="宋体" w:eastAsia="宋体" w:cs="宋体"/>
                <w:color w:val="auto"/>
                <w:sz w:val="21"/>
                <w:szCs w:val="21"/>
                <w:highlight w:val="none"/>
                <w:lang w:val="en-US" w:eastAsia="zh-CN"/>
              </w:rPr>
              <w:t>区、生产车间、库房</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包括了如下所有的生产工序：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1）采购及验收入库工序；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2）管理人员到客户单位逐一量体工序；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3）设计打版工序；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pacing w:val="-10"/>
                <w:sz w:val="21"/>
                <w:szCs w:val="21"/>
                <w:highlight w:val="none"/>
                <w:lang w:val="en-US" w:eastAsia="zh-CN"/>
              </w:rPr>
              <w:t>4）拉布</w:t>
            </w:r>
            <w:r>
              <w:rPr>
                <w:rFonts w:hint="eastAsia" w:ascii="宋体" w:hAnsi="宋体" w:eastAsia="宋体" w:cs="宋体"/>
                <w:b w:val="0"/>
                <w:bCs/>
                <w:color w:val="auto"/>
                <w:sz w:val="21"/>
                <w:szCs w:val="21"/>
                <w:highlight w:val="none"/>
                <w:lang w:val="en-US" w:eastAsia="zh-CN"/>
              </w:rPr>
              <w:t>、裁剪工序；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5）压衬、分号工序；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6）缝制、剪线头工序；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7）质检工序；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8）锁眼、熨烫、钉扣工序；</w:t>
            </w:r>
          </w:p>
          <w:p>
            <w:pPr>
              <w:pStyle w:val="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9）包装、贴名、打箱、运输工序。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识别的危险源</w:t>
            </w:r>
            <w:r>
              <w:rPr>
                <w:rFonts w:hint="eastAsia" w:ascii="宋体" w:hAnsi="宋体" w:eastAsia="宋体" w:cs="宋体"/>
                <w:color w:val="auto"/>
                <w:sz w:val="21"/>
                <w:szCs w:val="21"/>
                <w:highlight w:val="none"/>
                <w:lang w:eastAsia="zh-CN"/>
              </w:rPr>
              <w:t>包括</w:t>
            </w:r>
            <w:r>
              <w:rPr>
                <w:rFonts w:hint="eastAsia" w:ascii="宋体" w:hAnsi="宋体" w:eastAsia="宋体" w:cs="宋体"/>
                <w:color w:val="auto"/>
                <w:sz w:val="21"/>
                <w:szCs w:val="21"/>
                <w:highlight w:val="none"/>
              </w:rPr>
              <w:t>火灾、噪声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触电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机械伤害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烫伤、交通事故导致人身伤亡等，内容比较全面</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提供《重大</w:t>
            </w:r>
            <w:r>
              <w:rPr>
                <w:rFonts w:hint="eastAsia" w:ascii="宋体" w:hAnsi="宋体" w:eastAsia="宋体" w:cs="宋体"/>
                <w:color w:val="auto"/>
                <w:sz w:val="21"/>
                <w:szCs w:val="21"/>
                <w:highlight w:val="none"/>
                <w:lang w:val="en-US" w:eastAsia="zh-CN"/>
              </w:rPr>
              <w:t>风险</w:t>
            </w:r>
            <w:r>
              <w:rPr>
                <w:rFonts w:hint="eastAsia" w:ascii="宋体" w:hAnsi="宋体" w:eastAsia="宋体" w:cs="宋体"/>
                <w:color w:val="auto"/>
                <w:sz w:val="21"/>
                <w:szCs w:val="21"/>
                <w:highlight w:val="none"/>
              </w:rPr>
              <w:t>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采用头脑风暴法和经验法进行评价，评价出不可接受风险共3项：</w:t>
            </w:r>
            <w:r>
              <w:rPr>
                <w:rFonts w:hint="eastAsia" w:ascii="宋体" w:hAnsi="宋体" w:eastAsia="宋体" w:cs="宋体"/>
                <w:color w:val="auto"/>
                <w:sz w:val="21"/>
                <w:szCs w:val="21"/>
                <w:highlight w:val="none"/>
                <w:lang w:eastAsia="zh-CN"/>
              </w:rPr>
              <w:t>火灾、机械伤害、</w:t>
            </w:r>
            <w:r>
              <w:rPr>
                <w:rFonts w:hint="eastAsia" w:ascii="宋体" w:hAnsi="宋体" w:eastAsia="宋体" w:cs="宋体"/>
                <w:color w:val="auto"/>
                <w:sz w:val="21"/>
                <w:szCs w:val="21"/>
                <w:highlight w:val="none"/>
                <w:lang w:val="en-US" w:eastAsia="zh-CN"/>
              </w:rPr>
              <w:t>烫伤。</w:t>
            </w:r>
            <w:r>
              <w:rPr>
                <w:rFonts w:hint="eastAsia" w:ascii="宋体" w:hAnsi="宋体" w:eastAsia="宋体" w:cs="宋体"/>
                <w:color w:val="auto"/>
                <w:sz w:val="21"/>
                <w:szCs w:val="21"/>
                <w:highlight w:val="none"/>
              </w:rPr>
              <w:t>评价准确</w:t>
            </w:r>
            <w:r>
              <w:rPr>
                <w:rFonts w:hint="eastAsia" w:ascii="宋体" w:hAnsi="宋体" w:eastAsia="宋体" w:cs="宋体"/>
                <w:color w:val="auto"/>
                <w:sz w:val="21"/>
                <w:szCs w:val="21"/>
                <w:highlight w:val="none"/>
                <w:lang w:eastAsia="zh-CN"/>
              </w:rPr>
              <w:t>。</w:t>
            </w:r>
          </w:p>
          <w:p>
            <w:pPr>
              <w:pStyle w:val="6"/>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针对每项风险，该部门都策划了控制措施，如：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1）火灾：</w:t>
            </w:r>
            <w:r>
              <w:rPr>
                <w:rFonts w:hint="eastAsia" w:ascii="宋体" w:hAnsi="宋体" w:eastAsia="宋体" w:cs="宋体"/>
                <w:color w:val="auto"/>
                <w:kern w:val="2"/>
                <w:sz w:val="21"/>
                <w:szCs w:val="21"/>
                <w:highlight w:val="none"/>
                <w:lang w:val="en-US" w:eastAsia="zh-CN" w:bidi="ar-SA"/>
              </w:rPr>
              <w:t>策划的控制措施</w:t>
            </w:r>
            <w:r>
              <w:rPr>
                <w:rFonts w:hint="eastAsia" w:ascii="宋体" w:hAnsi="宋体" w:eastAsia="宋体" w:cs="宋体"/>
                <w:color w:val="auto"/>
                <w:sz w:val="21"/>
                <w:szCs w:val="21"/>
                <w:highlight w:val="none"/>
                <w:lang w:val="en-US" w:eastAsia="zh-CN"/>
              </w:rPr>
              <w:t>——规范库房管理；配备适宜数量的灭火器；对员工进行消防知识培训并演练。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2）机械伤害：</w:t>
            </w:r>
            <w:r>
              <w:rPr>
                <w:rFonts w:hint="eastAsia" w:ascii="宋体" w:hAnsi="宋体" w:eastAsia="宋体" w:cs="宋体"/>
                <w:color w:val="auto"/>
                <w:kern w:val="2"/>
                <w:sz w:val="21"/>
                <w:szCs w:val="21"/>
                <w:highlight w:val="none"/>
                <w:lang w:val="en-US" w:eastAsia="zh-CN" w:bidi="ar-SA"/>
              </w:rPr>
              <w:t>策划的控制措施</w:t>
            </w:r>
            <w:r>
              <w:rPr>
                <w:rFonts w:hint="eastAsia" w:ascii="宋体" w:hAnsi="宋体" w:eastAsia="宋体" w:cs="宋体"/>
                <w:color w:val="auto"/>
                <w:sz w:val="21"/>
                <w:szCs w:val="21"/>
                <w:highlight w:val="none"/>
                <w:lang w:val="en-US" w:eastAsia="zh-CN"/>
              </w:rPr>
              <w:t>——对员工进行培训，使其提高安全意识。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3）烫伤：</w:t>
            </w:r>
            <w:r>
              <w:rPr>
                <w:rFonts w:hint="eastAsia" w:ascii="宋体" w:hAnsi="宋体" w:eastAsia="宋体" w:cs="宋体"/>
                <w:color w:val="auto"/>
                <w:kern w:val="2"/>
                <w:sz w:val="21"/>
                <w:szCs w:val="21"/>
                <w:highlight w:val="none"/>
                <w:lang w:val="en-US" w:eastAsia="zh-CN" w:bidi="ar-SA"/>
              </w:rPr>
              <w:t>策划的控制措施</w:t>
            </w:r>
            <w:r>
              <w:rPr>
                <w:rFonts w:hint="eastAsia" w:ascii="宋体" w:hAnsi="宋体" w:eastAsia="宋体" w:cs="宋体"/>
                <w:color w:val="auto"/>
                <w:sz w:val="21"/>
                <w:szCs w:val="21"/>
                <w:highlight w:val="none"/>
                <w:lang w:val="en-US" w:eastAsia="zh-CN"/>
              </w:rPr>
              <w:t>——对员工进行相关知识培训，使其提高安全意识和能力。</w:t>
            </w:r>
          </w:p>
          <w:p>
            <w:pPr>
              <w:pStyle w:val="6"/>
              <w:keepNext w:val="0"/>
              <w:keepLines w:val="0"/>
              <w:pageBreakBefore w:val="0"/>
              <w:widowControl w:val="0"/>
              <w:kinsoku/>
              <w:wordWrap/>
              <w:overflowPunct/>
              <w:topLinePunct w:val="0"/>
              <w:autoSpaceDE/>
              <w:autoSpaceDN/>
              <w:bidi w:val="0"/>
              <w:adjustRightInd/>
              <w:spacing w:line="360" w:lineRule="auto"/>
              <w:textAlignment w:val="auto"/>
              <w:rPr>
                <w:color w:val="auto"/>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公司还制定了相关管理制度，如《安全生产制度》、《消防安全管理制度》、《应急响应控制程序》等。</w:t>
            </w:r>
          </w:p>
        </w:tc>
        <w:tc>
          <w:tcPr>
            <w:tcW w:w="190" w:type="pct"/>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36" w:type="pct"/>
            <w:noWrap w:val="0"/>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基础设施</w:t>
            </w:r>
          </w:p>
        </w:tc>
        <w:tc>
          <w:tcPr>
            <w:tcW w:w="323" w:type="pct"/>
            <w:noWrap w:val="0"/>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Q</w:t>
            </w:r>
            <w:r>
              <w:rPr>
                <w:rFonts w:hint="eastAsia"/>
                <w:color w:val="auto"/>
                <w:sz w:val="21"/>
                <w:szCs w:val="21"/>
                <w:highlight w:val="none"/>
              </w:rPr>
              <w:t>7.1.3</w:t>
            </w:r>
          </w:p>
        </w:tc>
        <w:tc>
          <w:tcPr>
            <w:tcW w:w="4049" w:type="pct"/>
            <w:noWrap w:val="0"/>
            <w:vAlign w:val="center"/>
          </w:tcPr>
          <w:p>
            <w:pPr>
              <w:rPr>
                <w:rFonts w:hint="eastAsia"/>
                <w:color w:val="auto"/>
                <w:highlight w:val="none"/>
              </w:rPr>
            </w:pPr>
          </w:p>
          <w:p>
            <w:pPr>
              <w:numPr>
                <w:ilvl w:val="0"/>
                <w:numId w:val="5"/>
              </w:numPr>
              <w:ind w:firstLine="420" w:firstLineChars="200"/>
              <w:rPr>
                <w:rFonts w:hint="eastAsia"/>
                <w:color w:val="auto"/>
                <w:highlight w:val="none"/>
                <w:lang w:val="en-US" w:eastAsia="zh-CN"/>
              </w:rPr>
            </w:pPr>
            <w:r>
              <w:rPr>
                <w:rFonts w:hint="eastAsia"/>
                <w:color w:val="auto"/>
                <w:highlight w:val="none"/>
                <w:lang w:val="en-US" w:eastAsia="zh-CN"/>
              </w:rPr>
              <w:t>设施：</w:t>
            </w:r>
          </w:p>
          <w:p>
            <w:pPr>
              <w:numPr>
                <w:ilvl w:val="0"/>
                <w:numId w:val="0"/>
              </w:numPr>
              <w:ind w:firstLine="420" w:firstLineChars="200"/>
              <w:rPr>
                <w:rFonts w:hint="eastAsia"/>
                <w:color w:val="auto"/>
                <w:highlight w:val="none"/>
                <w:lang w:val="en-US" w:eastAsia="zh-CN"/>
              </w:rPr>
            </w:pPr>
            <w:r>
              <w:rPr>
                <w:rFonts w:hint="eastAsia"/>
                <w:color w:val="auto"/>
                <w:highlight w:val="none"/>
                <w:lang w:val="en-US" w:eastAsia="zh-CN"/>
              </w:rPr>
              <w:t>公司租赁一栋建筑物作为生产经营场所。租赁合同如下：</w:t>
            </w:r>
          </w:p>
          <w:p>
            <w:pPr>
              <w:pStyle w:val="6"/>
              <w:rPr>
                <w:rFonts w:hint="eastAsia"/>
                <w:color w:val="auto"/>
                <w:highlight w:val="none"/>
                <w:lang w:val="en-US" w:eastAsia="zh-CN"/>
              </w:rPr>
            </w:pPr>
            <w:r>
              <w:rPr>
                <w:rFonts w:hint="default"/>
                <w:color w:val="auto"/>
                <w:highlight w:val="none"/>
                <w:lang w:val="en-US" w:eastAsia="zh-CN"/>
              </w:rPr>
              <w:drawing>
                <wp:anchor distT="0" distB="0" distL="114300" distR="114300" simplePos="0" relativeHeight="251659264" behindDoc="1" locked="0" layoutInCell="1" allowOverlap="1">
                  <wp:simplePos x="0" y="0"/>
                  <wp:positionH relativeFrom="column">
                    <wp:posOffset>130175</wp:posOffset>
                  </wp:positionH>
                  <wp:positionV relativeFrom="paragraph">
                    <wp:posOffset>80645</wp:posOffset>
                  </wp:positionV>
                  <wp:extent cx="3263900" cy="2423795"/>
                  <wp:effectExtent l="0" t="0" r="0" b="1905"/>
                  <wp:wrapTight wrapText="bothSides">
                    <wp:wrapPolygon>
                      <wp:start x="0" y="0"/>
                      <wp:lineTo x="0" y="21504"/>
                      <wp:lineTo x="21516" y="21504"/>
                      <wp:lineTo x="21516" y="0"/>
                      <wp:lineTo x="0" y="0"/>
                    </wp:wrapPolygon>
                  </wp:wrapTight>
                  <wp:docPr id="9" name="图片 2" descr="1621566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621566756(1)"/>
                          <pic:cNvPicPr>
                            <a:picLocks noChangeAspect="1"/>
                          </pic:cNvPicPr>
                        </pic:nvPicPr>
                        <pic:blipFill>
                          <a:blip r:embed="rId14"/>
                          <a:stretch>
                            <a:fillRect/>
                          </a:stretch>
                        </pic:blipFill>
                        <pic:spPr>
                          <a:xfrm>
                            <a:off x="0" y="0"/>
                            <a:ext cx="3263900" cy="2423795"/>
                          </a:xfrm>
                          <a:prstGeom prst="rect">
                            <a:avLst/>
                          </a:prstGeom>
                          <a:noFill/>
                          <a:ln>
                            <a:noFill/>
                          </a:ln>
                        </pic:spPr>
                      </pic:pic>
                    </a:graphicData>
                  </a:graphic>
                </wp:anchor>
              </w:drawing>
            </w:r>
          </w:p>
          <w:p>
            <w:pPr>
              <w:pStyle w:val="5"/>
              <w:rPr>
                <w:rFonts w:hint="eastAsia"/>
                <w:color w:val="auto"/>
                <w:highlight w:val="none"/>
                <w:lang w:val="en-US" w:eastAsia="zh-CN"/>
              </w:rPr>
            </w:pPr>
          </w:p>
          <w:p>
            <w:pPr>
              <w:rPr>
                <w:rFonts w:hint="eastAsia"/>
                <w:color w:val="auto"/>
                <w:highlight w:val="none"/>
                <w:lang w:val="en-US" w:eastAsia="zh-CN"/>
              </w:rPr>
            </w:pPr>
          </w:p>
          <w:p>
            <w:pPr>
              <w:pStyle w:val="6"/>
              <w:rPr>
                <w:rFonts w:hint="default"/>
                <w:color w:val="auto"/>
                <w:highlight w:val="none"/>
                <w:lang w:val="en-US" w:eastAsia="zh-CN"/>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2.公司</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台帐》</w:t>
            </w:r>
            <w:r>
              <w:rPr>
                <w:rFonts w:hint="eastAsia" w:ascii="宋体" w:hAnsi="宋体" w:eastAsia="宋体" w:cs="宋体"/>
                <w:color w:val="auto"/>
                <w:sz w:val="21"/>
                <w:szCs w:val="21"/>
                <w:highlight w:val="none"/>
                <w:lang w:val="en-US" w:eastAsia="zh-CN"/>
              </w:rPr>
              <w:t>显示：</w:t>
            </w:r>
            <w:r>
              <w:rPr>
                <w:rFonts w:hint="eastAsia" w:ascii="宋体" w:hAnsi="宋体" w:eastAsia="宋体" w:cs="宋体"/>
                <w:color w:val="auto"/>
                <w:sz w:val="21"/>
                <w:szCs w:val="21"/>
                <w:highlight w:val="none"/>
              </w:rPr>
              <w:t>主要生产设备有</w:t>
            </w:r>
            <w:r>
              <w:rPr>
                <w:rFonts w:hint="eastAsia" w:ascii="宋体" w:hAnsi="宋体" w:eastAsia="宋体" w:cs="宋体"/>
                <w:color w:val="auto"/>
                <w:spacing w:val="-10"/>
                <w:sz w:val="21"/>
                <w:szCs w:val="21"/>
                <w:highlight w:val="none"/>
                <w:lang w:val="en-US" w:eastAsia="zh-CN"/>
              </w:rPr>
              <w:t>打板机、拉布机、压衬机、电动缝纫机、锁边机、扦边机、切刀机、双针机、包兜机、熨烫机、锁眼机、钉扣机、打结机、电带机、监控仪</w:t>
            </w:r>
            <w:r>
              <w:rPr>
                <w:rFonts w:hint="eastAsia" w:ascii="宋体" w:hAnsi="宋体" w:eastAsia="宋体" w:cs="宋体"/>
                <w:color w:val="auto"/>
                <w:sz w:val="21"/>
                <w:szCs w:val="21"/>
                <w:highlight w:val="none"/>
                <w:lang w:val="en-US" w:eastAsia="zh-CN"/>
              </w:rPr>
              <w:t>等。能</w:t>
            </w:r>
            <w:r>
              <w:rPr>
                <w:rFonts w:hint="eastAsia" w:ascii="宋体" w:hAnsi="宋体" w:eastAsia="宋体" w:cs="宋体"/>
                <w:color w:val="auto"/>
                <w:sz w:val="21"/>
                <w:szCs w:val="21"/>
                <w:highlight w:val="none"/>
              </w:rPr>
              <w:t>满足生产需要。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现场生产检测设备完好，维护保养基本得当，能够满足生产符合要求产品的需要。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抽生产设备保养、检修情况：提供</w:t>
            </w:r>
            <w:r>
              <w:rPr>
                <w:rFonts w:hint="eastAsia" w:ascii="宋体" w:hAnsi="宋体" w:eastAsia="宋体" w:cs="宋体"/>
                <w:color w:val="auto"/>
                <w:spacing w:val="-10"/>
                <w:sz w:val="21"/>
                <w:szCs w:val="21"/>
                <w:highlight w:val="none"/>
                <w:lang w:val="en-US" w:eastAsia="zh-CN"/>
              </w:rPr>
              <w:t>电动缝纫机、锁边机、扦边机、切刀机</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设备“维护保养记录”，其显示了设备名称、保养项目、保养时间、责任人等。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“设备年度检修计划”，内容有设备名称、检修时间、检修内容、检修人，提供了设备检修记录。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记录清晰，写明了维修内容、维修人等内容，满足策划要求。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特种设备——小型轿车1台，编号冀AQW299。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提供相应的检定结果如下：</w:t>
            </w:r>
          </w:p>
          <w:p>
            <w:pPr>
              <w:pStyle w:val="5"/>
              <w:rPr>
                <w:rFonts w:hint="eastAsia"/>
                <w:color w:val="auto"/>
                <w:highlight w:val="none"/>
                <w:lang w:val="en-US" w:eastAsia="zh-CN"/>
              </w:rPr>
            </w:pPr>
            <w:r>
              <w:rPr>
                <w:rFonts w:hint="default"/>
                <w:color w:val="auto"/>
                <w:highlight w:val="none"/>
                <w:lang w:val="en-US" w:eastAsia="zh-CN"/>
              </w:rPr>
              <w:drawing>
                <wp:inline distT="0" distB="0" distL="114300" distR="114300">
                  <wp:extent cx="2305050" cy="1543050"/>
                  <wp:effectExtent l="0" t="0" r="6350" b="6350"/>
                  <wp:docPr id="6" name="图片 5" descr="162156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621567820(1)"/>
                          <pic:cNvPicPr>
                            <a:picLocks noChangeAspect="1"/>
                          </pic:cNvPicPr>
                        </pic:nvPicPr>
                        <pic:blipFill>
                          <a:blip r:embed="rId15"/>
                          <a:stretch>
                            <a:fillRect/>
                          </a:stretch>
                        </pic:blipFill>
                        <pic:spPr>
                          <a:xfrm>
                            <a:off x="0" y="0"/>
                            <a:ext cx="2305050" cy="1543050"/>
                          </a:xfrm>
                          <a:prstGeom prst="rect">
                            <a:avLst/>
                          </a:prstGeom>
                          <a:noFill/>
                          <a:ln>
                            <a:noFill/>
                          </a:ln>
                        </pic:spPr>
                      </pic:pic>
                    </a:graphicData>
                  </a:graphic>
                </wp:inline>
              </w:drawing>
            </w:r>
          </w:p>
        </w:tc>
        <w:tc>
          <w:tcPr>
            <w:tcW w:w="190" w:type="pct"/>
            <w:noWrap w:val="0"/>
            <w:vAlign w:val="top"/>
          </w:tcPr>
          <w:p>
            <w:pPr>
              <w:rPr>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36" w:type="pct"/>
            <w:noWrap w:val="0"/>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运行环境</w:t>
            </w:r>
          </w:p>
        </w:tc>
        <w:tc>
          <w:tcPr>
            <w:tcW w:w="323" w:type="pct"/>
            <w:noWrap w:val="0"/>
            <w:vAlign w:val="center"/>
          </w:tcPr>
          <w:p>
            <w:pPr>
              <w:rPr>
                <w:rFonts w:hint="eastAsia"/>
                <w:color w:val="auto"/>
                <w:highlight w:val="none"/>
              </w:rPr>
            </w:pPr>
            <w:r>
              <w:rPr>
                <w:rFonts w:hint="eastAsia"/>
                <w:color w:val="auto"/>
                <w:highlight w:val="none"/>
                <w:lang w:val="en-US" w:eastAsia="zh-CN"/>
              </w:rPr>
              <w:t>Q</w:t>
            </w:r>
            <w:r>
              <w:rPr>
                <w:rFonts w:hint="eastAsia"/>
                <w:color w:val="auto"/>
                <w:highlight w:val="none"/>
              </w:rPr>
              <w:t>7.1.4</w:t>
            </w:r>
          </w:p>
          <w:p>
            <w:pPr>
              <w:pStyle w:val="6"/>
              <w:rPr>
                <w:rFonts w:hint="default" w:eastAsia="宋体"/>
                <w:color w:val="auto"/>
                <w:highlight w:val="none"/>
                <w:lang w:val="en-US" w:eastAsia="zh-CN"/>
              </w:rPr>
            </w:pPr>
            <w:r>
              <w:rPr>
                <w:rFonts w:hint="eastAsia"/>
                <w:color w:val="auto"/>
                <w:sz w:val="21"/>
                <w:szCs w:val="21"/>
                <w:highlight w:val="none"/>
                <w:lang w:val="en-US" w:eastAsia="zh-CN"/>
              </w:rPr>
              <w:t>O7.1</w:t>
            </w:r>
          </w:p>
        </w:tc>
        <w:tc>
          <w:tcPr>
            <w:tcW w:w="40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1.硬件环境：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该部门的</w:t>
            </w:r>
            <w:r>
              <w:rPr>
                <w:rFonts w:hint="eastAsia"/>
                <w:color w:val="auto"/>
                <w:highlight w:val="none"/>
              </w:rPr>
              <w:t>车间占地面积</w:t>
            </w:r>
            <w:r>
              <w:rPr>
                <w:rFonts w:hint="eastAsia"/>
                <w:color w:val="auto"/>
                <w:highlight w:val="none"/>
                <w:lang w:val="en-US" w:eastAsia="zh-CN"/>
              </w:rPr>
              <w:t>53</w:t>
            </w:r>
            <w:r>
              <w:rPr>
                <w:rFonts w:hint="eastAsia"/>
                <w:color w:val="auto"/>
                <w:highlight w:val="none"/>
              </w:rPr>
              <w:t>0平米</w:t>
            </w:r>
            <w:r>
              <w:rPr>
                <w:rFonts w:hint="eastAsia"/>
                <w:color w:val="auto"/>
                <w:highlight w:val="none"/>
                <w:lang w:val="en-US" w:eastAsia="zh-CN"/>
              </w:rPr>
              <w:t>左右</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车间宽敞明亮，干净整洁，通道畅通。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车间内各种规格、型号产品摆放整齐，工序间工位器具设置较合理。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车间有</w:t>
            </w:r>
            <w:r>
              <w:rPr>
                <w:rFonts w:hint="eastAsia"/>
                <w:color w:val="auto"/>
                <w:highlight w:val="none"/>
                <w:lang w:val="en-US" w:eastAsia="zh-CN"/>
              </w:rPr>
              <w:t>8kg干粉灭火器12个</w:t>
            </w:r>
            <w:r>
              <w:rPr>
                <w:rFonts w:hint="eastAsia"/>
                <w:color w:val="auto"/>
                <w:highlight w:val="none"/>
              </w:rPr>
              <w:t>，并在有效期内。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车间工人在工作前及工作结束后能够及时清理环境及设备。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工人每日工作前，仔细检查设备防护情况。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val="en-US" w:eastAsia="zh-CN"/>
              </w:rPr>
            </w:pPr>
            <w:r>
              <w:rPr>
                <w:rFonts w:hint="eastAsia"/>
                <w:color w:val="auto"/>
                <w:highlight w:val="none"/>
              </w:rPr>
              <w:t>工作环境得到良好的控制</w:t>
            </w:r>
            <w:r>
              <w:rPr>
                <w:rFonts w:hint="eastAsia"/>
                <w:color w:val="auto"/>
                <w:highlight w:val="none"/>
                <w:lang w:eastAsia="zh-CN"/>
              </w:rPr>
              <w:t>。</w:t>
            </w:r>
          </w:p>
        </w:tc>
        <w:tc>
          <w:tcPr>
            <w:tcW w:w="190" w:type="pct"/>
            <w:noWrap w:val="0"/>
            <w:vAlign w:val="top"/>
          </w:tcPr>
          <w:p>
            <w:pPr>
              <w:rPr>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36" w:type="pct"/>
            <w:noWrap w:val="0"/>
            <w:vAlign w:val="center"/>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监视和测量资源</w:t>
            </w:r>
          </w:p>
        </w:tc>
        <w:tc>
          <w:tcPr>
            <w:tcW w:w="323" w:type="pct"/>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lang w:val="en-US" w:eastAsia="zh-CN"/>
              </w:rPr>
              <w:t>7.1.5</w:t>
            </w:r>
          </w:p>
          <w:p>
            <w:pPr>
              <w:pStyle w:val="6"/>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O7.1</w:t>
            </w:r>
          </w:p>
          <w:p>
            <w:pPr>
              <w:rPr>
                <w:rFonts w:hint="eastAsia" w:ascii="Times New Roman" w:hAnsi="Times New Roman" w:eastAsia="宋体" w:cs="Times New Roman"/>
                <w:color w:val="auto"/>
                <w:kern w:val="2"/>
                <w:sz w:val="21"/>
                <w:highlight w:val="none"/>
                <w:lang w:val="en-US" w:eastAsia="zh-CN" w:bidi="ar-SA"/>
              </w:rPr>
            </w:pPr>
          </w:p>
        </w:tc>
        <w:tc>
          <w:tcPr>
            <w:tcW w:w="40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提供了《监视和测量设备</w:t>
            </w:r>
            <w:r>
              <w:rPr>
                <w:rFonts w:hint="eastAsia" w:ascii="宋体" w:hAnsi="宋体" w:eastAsia="宋体" w:cs="宋体"/>
                <w:color w:val="auto"/>
                <w:sz w:val="21"/>
                <w:szCs w:val="21"/>
                <w:highlight w:val="none"/>
                <w:lang w:val="en-US" w:eastAsia="zh-CN"/>
              </w:rPr>
              <w:t>台账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pacing w:val="-10"/>
                <w:sz w:val="21"/>
                <w:szCs w:val="21"/>
                <w:highlight w:val="none"/>
                <w:lang w:val="en-US" w:eastAsia="zh-CN"/>
              </w:rPr>
              <w:t>钢板尺、皮尺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抽查计量器具校准/检定情况——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lang w:eastAsia="zh-CN"/>
              </w:rPr>
              <w:t>监视和测量设备</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没有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CN"/>
              </w:rPr>
              <w:t>校准/检定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因为既不属于国家规定的强检对象，也可用另一方法替代检定以保证设备的准确性，替代方法就是定期更换新的</w:t>
            </w:r>
            <w:r>
              <w:rPr>
                <w:rFonts w:hint="eastAsia" w:ascii="宋体" w:hAnsi="宋体" w:eastAsia="宋体" w:cs="宋体"/>
                <w:color w:val="auto"/>
                <w:spacing w:val="-10"/>
                <w:sz w:val="21"/>
                <w:szCs w:val="21"/>
                <w:highlight w:val="none"/>
                <w:lang w:val="en-US" w:eastAsia="zh-CN"/>
              </w:rPr>
              <w:t>钢板尺、皮尺（新采购的均有合格证）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未发生在用的监视和测量设备</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异常现象</w:t>
            </w:r>
            <w:r>
              <w:rPr>
                <w:rFonts w:hint="eastAsia" w:ascii="宋体" w:hAnsi="宋体" w:eastAsia="宋体" w:cs="宋体"/>
                <w:color w:val="auto"/>
                <w:sz w:val="21"/>
                <w:szCs w:val="21"/>
                <w:highlight w:val="none"/>
                <w:lang w:eastAsia="zh-CN"/>
              </w:rPr>
              <w:t>。</w:t>
            </w:r>
          </w:p>
        </w:tc>
        <w:tc>
          <w:tcPr>
            <w:tcW w:w="190" w:type="pct"/>
            <w:noWrap w:val="0"/>
            <w:vAlign w:val="top"/>
          </w:tcPr>
          <w:p>
            <w:pPr>
              <w:rPr>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36" w:type="pct"/>
            <w:noWrap w:val="0"/>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生产和服务提供的控制</w:t>
            </w:r>
          </w:p>
        </w:tc>
        <w:tc>
          <w:tcPr>
            <w:tcW w:w="323" w:type="pct"/>
            <w:noWrap w:val="0"/>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Q</w:t>
            </w:r>
            <w:r>
              <w:rPr>
                <w:rFonts w:hint="eastAsia"/>
                <w:color w:val="auto"/>
                <w:sz w:val="21"/>
                <w:szCs w:val="21"/>
                <w:highlight w:val="none"/>
              </w:rPr>
              <w:t>8.5.1</w:t>
            </w:r>
          </w:p>
        </w:tc>
        <w:tc>
          <w:tcPr>
            <w:tcW w:w="4049" w:type="pct"/>
            <w:noWrap w:val="0"/>
            <w:vAlign w:val="center"/>
          </w:tcPr>
          <w:p>
            <w:pPr>
              <w:keepNext w:val="0"/>
              <w:keepLines w:val="0"/>
              <w:pageBreakBefore w:val="0"/>
              <w:widowControl w:val="0"/>
              <w:kinsoku/>
              <w:wordWrap/>
              <w:overflowPunct/>
              <w:topLinePunct w:val="0"/>
              <w:bidi w:val="0"/>
              <w:adjustRightInd/>
              <w:snapToGrid/>
              <w:spacing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公司</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《生产和服务提供控制程序》，对生产过程进行控制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获得规定以下内容的文件化信息：</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生产的产品、提供的服务或执行的活动的特征：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①与组织的产品及服务有关的法律法规：产品质量法、合同法等；</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②编制了《</w:t>
            </w:r>
            <w:r>
              <w:rPr>
                <w:rFonts w:hint="eastAsia" w:ascii="宋体" w:hAnsi="宋体" w:eastAsia="宋体" w:cs="宋体"/>
                <w:color w:val="auto"/>
                <w:sz w:val="21"/>
                <w:szCs w:val="21"/>
                <w:highlight w:val="none"/>
                <w:lang w:val="en-US" w:eastAsia="zh-CN"/>
              </w:rPr>
              <w:t>月份生产作业计划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产品和服务的要求评审表</w:t>
            </w:r>
            <w:r>
              <w:rPr>
                <w:rFonts w:hint="eastAsia" w:ascii="宋体" w:hAnsi="宋体" w:eastAsia="宋体" w:cs="宋体"/>
                <w:color w:val="auto"/>
                <w:sz w:val="21"/>
                <w:szCs w:val="21"/>
                <w:highlight w:val="none"/>
              </w:rPr>
              <w:t>》《原材料检验规范》、《</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品</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检验规范》、《设备管理制度》等多个工艺文件和十余种记录。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每个不同尺寸的</w:t>
            </w:r>
            <w:r>
              <w:rPr>
                <w:rFonts w:hint="eastAsia" w:ascii="宋体" w:hAnsi="宋体" w:eastAsia="宋体" w:cs="宋体"/>
                <w:b/>
                <w:bCs w:val="0"/>
                <w:color w:val="auto"/>
                <w:sz w:val="21"/>
                <w:szCs w:val="21"/>
                <w:highlight w:val="none"/>
                <w:lang w:val="en-US" w:eastAsia="zh-CN"/>
              </w:rPr>
              <w:t>打板图纸。</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2）要达到的结果：生产的产品能够符合国家、行业标准及客户要求，满足相关法律法规要求及产品使用性能/功能要求及售后服务承诺。</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获得和使用适宜的监视和测量资源：</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提供的主要监视和测量设备：</w:t>
            </w:r>
            <w:r>
              <w:rPr>
                <w:rFonts w:hint="eastAsia" w:ascii="宋体" w:hAnsi="宋体" w:eastAsia="宋体" w:cs="宋体"/>
                <w:color w:val="auto"/>
                <w:spacing w:val="-10"/>
                <w:sz w:val="21"/>
                <w:szCs w:val="21"/>
                <w:highlight w:val="none"/>
                <w:lang w:val="en-US" w:eastAsia="zh-CN"/>
              </w:rPr>
              <w:t>钢板尺、皮尺，</w:t>
            </w:r>
            <w:r>
              <w:rPr>
                <w:rFonts w:hint="eastAsia" w:ascii="宋体" w:hAnsi="宋体" w:eastAsia="宋体" w:cs="宋体"/>
                <w:color w:val="auto"/>
                <w:sz w:val="21"/>
                <w:szCs w:val="21"/>
                <w:highlight w:val="none"/>
              </w:rPr>
              <w:t>能够满足产品检查需要。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 在适当阶段进行监视和测量，以验证过程或输出的控制及产品和服务的接收准则已得到满足；</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查看生产现场：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打板</w:t>
            </w:r>
            <w:r>
              <w:rPr>
                <w:rFonts w:hint="eastAsia" w:ascii="宋体" w:hAnsi="宋体" w:eastAsia="宋体" w:cs="宋体"/>
                <w:color w:val="auto"/>
                <w:sz w:val="21"/>
                <w:szCs w:val="21"/>
                <w:highlight w:val="none"/>
              </w:rPr>
              <w:t>工序：正在</w:t>
            </w:r>
            <w:r>
              <w:rPr>
                <w:rFonts w:hint="eastAsia" w:ascii="宋体" w:hAnsi="宋体" w:eastAsia="宋体" w:cs="宋体"/>
                <w:color w:val="auto"/>
                <w:sz w:val="21"/>
                <w:szCs w:val="21"/>
                <w:highlight w:val="none"/>
                <w:lang w:val="en-US" w:eastAsia="zh-CN"/>
              </w:rPr>
              <w:t>将不同尺寸输入电脑，软件自动生成图像并在打印机上打印成打板图纸（服装结构设计图）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电脑、服装打版</w:t>
            </w:r>
            <w:r>
              <w:rPr>
                <w:rFonts w:hint="eastAsia" w:ascii="宋体" w:hAnsi="宋体" w:eastAsia="宋体" w:cs="宋体"/>
                <w:color w:val="auto"/>
                <w:sz w:val="21"/>
                <w:szCs w:val="21"/>
                <w:highlight w:val="none"/>
              </w:rPr>
              <w:t>机。操作者</w:t>
            </w:r>
            <w:r>
              <w:rPr>
                <w:rFonts w:hint="eastAsia" w:ascii="宋体" w:hAnsi="宋体" w:eastAsia="宋体" w:cs="宋体"/>
                <w:color w:val="auto"/>
                <w:sz w:val="21"/>
                <w:szCs w:val="21"/>
                <w:highlight w:val="none"/>
                <w:lang w:val="en-US" w:eastAsia="zh-CN"/>
              </w:rPr>
              <w:t>工1</w:t>
            </w:r>
            <w:r>
              <w:rPr>
                <w:rFonts w:hint="eastAsia" w:ascii="宋体" w:hAnsi="宋体" w:eastAsia="宋体" w:cs="宋体"/>
                <w:color w:val="auto"/>
                <w:sz w:val="21"/>
                <w:szCs w:val="21"/>
                <w:highlight w:val="none"/>
              </w:rPr>
              <w:t>人，主要控制内容：</w:t>
            </w:r>
            <w:r>
              <w:rPr>
                <w:rFonts w:hint="eastAsia" w:ascii="宋体" w:hAnsi="宋体" w:eastAsia="宋体" w:cs="宋体"/>
                <w:color w:val="auto"/>
                <w:sz w:val="21"/>
                <w:szCs w:val="21"/>
                <w:highlight w:val="none"/>
                <w:lang w:val="en-US" w:eastAsia="zh-CN"/>
              </w:rPr>
              <w:t>衣长、肩宽、胸围、袖长、腰围、臀围、裤长、领口、身高</w:t>
            </w:r>
            <w:r>
              <w:rPr>
                <w:rFonts w:hint="eastAsia" w:ascii="宋体" w:hAnsi="宋体" w:eastAsia="宋体" w:cs="宋体"/>
                <w:color w:val="auto"/>
                <w:sz w:val="21"/>
                <w:szCs w:val="21"/>
                <w:highlight w:val="none"/>
              </w:rPr>
              <w:t>，过程符合技术要求。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裁剪</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val="en-US" w:eastAsia="zh-CN"/>
              </w:rPr>
              <w:t>设备：推刀机</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徐</w:t>
            </w:r>
            <w:r>
              <w:rPr>
                <w:rFonts w:hint="eastAsia" w:ascii="宋体" w:hAnsi="宋体" w:eastAsia="宋体" w:cs="宋体"/>
                <w:color w:val="auto"/>
                <w:sz w:val="21"/>
                <w:szCs w:val="21"/>
                <w:highlight w:val="none"/>
              </w:rPr>
              <w:t>某，主要控制内容：</w:t>
            </w:r>
            <w:r>
              <w:rPr>
                <w:rFonts w:hint="eastAsia" w:ascii="宋体" w:hAnsi="宋体" w:eastAsia="宋体" w:cs="宋体"/>
                <w:color w:val="auto"/>
                <w:sz w:val="21"/>
                <w:szCs w:val="21"/>
                <w:highlight w:val="none"/>
                <w:lang w:val="en-US" w:eastAsia="zh-CN"/>
              </w:rPr>
              <w:t>各部位尺寸</w:t>
            </w:r>
            <w:r>
              <w:rPr>
                <w:rFonts w:hint="eastAsia" w:ascii="宋体" w:hAnsi="宋体" w:eastAsia="宋体" w:cs="宋体"/>
                <w:color w:val="auto"/>
                <w:sz w:val="21"/>
                <w:szCs w:val="21"/>
                <w:highlight w:val="none"/>
              </w:rPr>
              <w:t>等，现场检查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符合工艺要求。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压衬、分号、缝制</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val="en-US" w:eastAsia="zh-CN"/>
              </w:rPr>
              <w:t>设备：</w:t>
            </w:r>
            <w:r>
              <w:rPr>
                <w:rFonts w:hint="eastAsia" w:ascii="宋体" w:hAnsi="宋体" w:eastAsia="宋体" w:cs="宋体"/>
                <w:b w:val="0"/>
                <w:bCs/>
                <w:color w:val="auto"/>
                <w:sz w:val="21"/>
                <w:szCs w:val="21"/>
                <w:highlight w:val="none"/>
                <w:lang w:val="en-US" w:eastAsia="zh-CN"/>
              </w:rPr>
              <w:t>压衬</w:t>
            </w:r>
            <w:r>
              <w:rPr>
                <w:rFonts w:hint="eastAsia" w:ascii="宋体" w:hAnsi="宋体" w:eastAsia="宋体" w:cs="宋体"/>
                <w:color w:val="auto"/>
                <w:sz w:val="21"/>
                <w:szCs w:val="21"/>
                <w:highlight w:val="none"/>
                <w:lang w:val="en-US" w:eastAsia="zh-CN"/>
              </w:rPr>
              <w:t>机，电动缝纫机</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张</w:t>
            </w:r>
            <w:r>
              <w:rPr>
                <w:rFonts w:hint="eastAsia" w:ascii="宋体" w:hAnsi="宋体" w:eastAsia="宋体" w:cs="宋体"/>
                <w:color w:val="auto"/>
                <w:sz w:val="21"/>
                <w:szCs w:val="21"/>
                <w:highlight w:val="none"/>
              </w:rPr>
              <w:t>某</w:t>
            </w:r>
            <w:r>
              <w:rPr>
                <w:rFonts w:hint="eastAsia" w:ascii="宋体" w:hAnsi="宋体" w:eastAsia="宋体" w:cs="宋体"/>
                <w:color w:val="auto"/>
                <w:sz w:val="21"/>
                <w:szCs w:val="21"/>
                <w:highlight w:val="none"/>
                <w:lang w:val="en-US" w:eastAsia="zh-CN"/>
              </w:rPr>
              <w:t>等10多名人员</w:t>
            </w:r>
            <w:r>
              <w:rPr>
                <w:rFonts w:hint="eastAsia" w:ascii="宋体" w:hAnsi="宋体" w:eastAsia="宋体" w:cs="宋体"/>
                <w:color w:val="auto"/>
                <w:sz w:val="21"/>
                <w:szCs w:val="21"/>
                <w:highlight w:val="none"/>
              </w:rPr>
              <w:t>，主要控制内容：</w:t>
            </w:r>
            <w:r>
              <w:rPr>
                <w:rFonts w:hint="eastAsia" w:ascii="宋体" w:hAnsi="宋体" w:eastAsia="宋体" w:cs="宋体"/>
                <w:color w:val="auto"/>
                <w:sz w:val="21"/>
                <w:szCs w:val="21"/>
                <w:highlight w:val="none"/>
                <w:lang w:val="en-US" w:eastAsia="zh-CN"/>
              </w:rPr>
              <w:t>缝纫针距、是否走直线、外观尺寸</w:t>
            </w:r>
            <w:r>
              <w:rPr>
                <w:rFonts w:hint="eastAsia" w:ascii="宋体" w:hAnsi="宋体" w:eastAsia="宋体" w:cs="宋体"/>
                <w:color w:val="auto"/>
                <w:sz w:val="21"/>
                <w:szCs w:val="21"/>
                <w:highlight w:val="none"/>
              </w:rPr>
              <w:t>等，现场检查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符合工艺要求。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第一次质检</w:t>
            </w:r>
            <w:r>
              <w:rPr>
                <w:rFonts w:hint="eastAsia" w:ascii="宋体" w:hAnsi="宋体" w:eastAsia="宋体" w:cs="宋体"/>
                <w:color w:val="auto"/>
                <w:sz w:val="21"/>
                <w:szCs w:val="21"/>
                <w:highlight w:val="none"/>
                <w:lang w:val="en-US" w:eastAsia="zh-CN"/>
              </w:rPr>
              <w:t>工序，设备：无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方法：目测，按质检标准进行，</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孙</w:t>
            </w:r>
            <w:r>
              <w:rPr>
                <w:rFonts w:hint="eastAsia" w:ascii="宋体" w:hAnsi="宋体" w:eastAsia="宋体" w:cs="宋体"/>
                <w:color w:val="auto"/>
                <w:sz w:val="21"/>
                <w:szCs w:val="21"/>
                <w:highlight w:val="none"/>
              </w:rPr>
              <w:t>某，现场检查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符合工艺要求。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锁眼、钉扣</w:t>
            </w:r>
            <w:r>
              <w:rPr>
                <w:rFonts w:hint="eastAsia" w:ascii="宋体" w:hAnsi="宋体" w:eastAsia="宋体" w:cs="宋体"/>
                <w:color w:val="auto"/>
                <w:sz w:val="21"/>
                <w:szCs w:val="21"/>
                <w:highlight w:val="none"/>
                <w:lang w:val="en-US" w:eastAsia="zh-CN"/>
              </w:rPr>
              <w:t>工序，设备：</w:t>
            </w:r>
            <w:r>
              <w:rPr>
                <w:rFonts w:hint="eastAsia" w:ascii="宋体" w:hAnsi="宋体" w:eastAsia="宋体" w:cs="宋体"/>
                <w:color w:val="auto"/>
                <w:spacing w:val="-10"/>
                <w:sz w:val="21"/>
                <w:szCs w:val="21"/>
                <w:highlight w:val="none"/>
                <w:lang w:val="en-US" w:eastAsia="zh-CN"/>
              </w:rPr>
              <w:t>锁眼机、钉扣机、打结机</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李</w:t>
            </w:r>
            <w:r>
              <w:rPr>
                <w:rFonts w:hint="eastAsia" w:ascii="宋体" w:hAnsi="宋体" w:eastAsia="宋体" w:cs="宋体"/>
                <w:color w:val="auto"/>
                <w:sz w:val="21"/>
                <w:szCs w:val="21"/>
                <w:highlight w:val="none"/>
              </w:rPr>
              <w:t>某，</w:t>
            </w:r>
            <w:r>
              <w:rPr>
                <w:rFonts w:hint="eastAsia" w:ascii="宋体" w:hAnsi="宋体" w:eastAsia="宋体" w:cs="宋体"/>
                <w:color w:val="auto"/>
                <w:sz w:val="21"/>
                <w:szCs w:val="21"/>
                <w:highlight w:val="none"/>
                <w:lang w:eastAsia="zh-CN"/>
              </w:rPr>
              <w:t>使用作业指导书。控制技术要求</w:t>
            </w:r>
            <w:r>
              <w:rPr>
                <w:rFonts w:hint="eastAsia" w:ascii="宋体" w:hAnsi="宋体" w:eastAsia="宋体" w:cs="宋体"/>
                <w:color w:val="auto"/>
                <w:sz w:val="21"/>
                <w:szCs w:val="21"/>
                <w:highlight w:val="none"/>
                <w:lang w:val="en-US" w:eastAsia="zh-CN"/>
              </w:rPr>
              <w:t>间距尺寸</w:t>
            </w:r>
            <w:r>
              <w:rPr>
                <w:rFonts w:hint="eastAsia" w:ascii="宋体" w:hAnsi="宋体" w:eastAsia="宋体" w:cs="宋体"/>
                <w:color w:val="auto"/>
                <w:sz w:val="21"/>
                <w:szCs w:val="21"/>
                <w:highlight w:val="none"/>
                <w:lang w:eastAsia="zh-CN"/>
              </w:rPr>
              <w:t>等，符合操作规程。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熨烫</w:t>
            </w:r>
            <w:r>
              <w:rPr>
                <w:rFonts w:hint="eastAsia" w:ascii="宋体" w:hAnsi="宋体" w:eastAsia="宋体" w:cs="宋体"/>
                <w:color w:val="auto"/>
                <w:sz w:val="21"/>
                <w:szCs w:val="21"/>
                <w:highlight w:val="none"/>
                <w:lang w:eastAsia="zh-CN"/>
              </w:rPr>
              <w:t>工序，</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pacing w:val="-10"/>
                <w:sz w:val="21"/>
                <w:szCs w:val="21"/>
                <w:highlight w:val="none"/>
                <w:lang w:val="en-US" w:eastAsia="zh-CN"/>
              </w:rPr>
              <w:t>熨烫机</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auto"/>
                <w:sz w:val="21"/>
                <w:szCs w:val="21"/>
                <w:highlight w:val="none"/>
              </w:rPr>
              <w:t>某，</w:t>
            </w:r>
            <w:r>
              <w:rPr>
                <w:rFonts w:hint="eastAsia" w:ascii="宋体" w:hAnsi="宋体" w:eastAsia="宋体" w:cs="宋体"/>
                <w:color w:val="auto"/>
                <w:sz w:val="21"/>
                <w:szCs w:val="21"/>
                <w:highlight w:val="none"/>
                <w:lang w:eastAsia="zh-CN"/>
              </w:rPr>
              <w:t>使用作业指导书。控制技术要求：</w:t>
            </w:r>
            <w:r>
              <w:rPr>
                <w:rFonts w:hint="eastAsia" w:ascii="宋体" w:hAnsi="宋体" w:eastAsia="宋体" w:cs="宋体"/>
                <w:color w:val="auto"/>
                <w:sz w:val="21"/>
                <w:szCs w:val="21"/>
                <w:highlight w:val="none"/>
                <w:lang w:val="en-US" w:eastAsia="zh-CN"/>
              </w:rPr>
              <w:t>平整有型</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符合工艺要求。</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再次质检</w:t>
            </w:r>
            <w:r>
              <w:rPr>
                <w:rFonts w:hint="eastAsia" w:ascii="宋体" w:hAnsi="宋体" w:eastAsia="宋体" w:cs="宋体"/>
                <w:color w:val="auto"/>
                <w:sz w:val="21"/>
                <w:szCs w:val="21"/>
                <w:highlight w:val="none"/>
                <w:lang w:val="en-US" w:eastAsia="zh-CN"/>
              </w:rPr>
              <w:t>工序，设备：无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方法：目测，按质检标准进行，</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李</w:t>
            </w:r>
            <w:r>
              <w:rPr>
                <w:rFonts w:hint="eastAsia" w:ascii="宋体" w:hAnsi="宋体" w:eastAsia="宋体" w:cs="宋体"/>
                <w:color w:val="auto"/>
                <w:sz w:val="21"/>
                <w:szCs w:val="21"/>
                <w:highlight w:val="none"/>
              </w:rPr>
              <w:t>某，现场检查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符合工艺要求。</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包装</w:t>
            </w:r>
            <w:r>
              <w:rPr>
                <w:rFonts w:hint="eastAsia" w:ascii="宋体" w:hAnsi="宋体" w:eastAsia="宋体" w:cs="宋体"/>
                <w:color w:val="auto"/>
                <w:sz w:val="21"/>
                <w:szCs w:val="21"/>
                <w:highlight w:val="none"/>
                <w:lang w:val="en-US" w:eastAsia="zh-CN"/>
              </w:rPr>
              <w:t>工序，设备：无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方法：手工按型号对照量体的人员一一装袋并标识，</w:t>
            </w:r>
            <w:r>
              <w:rPr>
                <w:rFonts w:hint="eastAsia" w:ascii="宋体" w:hAnsi="宋体" w:eastAsia="宋体" w:cs="宋体"/>
                <w:color w:val="auto"/>
                <w:sz w:val="21"/>
                <w:szCs w:val="21"/>
                <w:highlight w:val="none"/>
              </w:rPr>
              <w:t>操作者</w:t>
            </w:r>
            <w:r>
              <w:rPr>
                <w:rFonts w:hint="eastAsia" w:ascii="宋体" w:hAnsi="宋体" w:eastAsia="宋体" w:cs="宋体"/>
                <w:color w:val="auto"/>
                <w:sz w:val="21"/>
                <w:szCs w:val="21"/>
                <w:highlight w:val="none"/>
                <w:lang w:val="en-US" w:eastAsia="zh-CN"/>
              </w:rPr>
              <w:t>李</w:t>
            </w:r>
            <w:r>
              <w:rPr>
                <w:rFonts w:hint="eastAsia" w:ascii="宋体" w:hAnsi="宋体" w:eastAsia="宋体" w:cs="宋体"/>
                <w:color w:val="auto"/>
                <w:sz w:val="21"/>
                <w:szCs w:val="21"/>
                <w:highlight w:val="none"/>
              </w:rPr>
              <w:t>某，现场检查</w:t>
            </w:r>
            <w:r>
              <w:rPr>
                <w:rFonts w:hint="eastAsia" w:ascii="宋体" w:hAnsi="宋体" w:eastAsia="宋体" w:cs="宋体"/>
                <w:color w:val="auto"/>
                <w:sz w:val="21"/>
                <w:szCs w:val="21"/>
                <w:highlight w:val="none"/>
                <w:lang w:val="en-US" w:eastAsia="zh-CN"/>
              </w:rPr>
              <w:t>该</w:t>
            </w:r>
            <w:r>
              <w:rPr>
                <w:rFonts w:hint="eastAsia" w:ascii="宋体" w:hAnsi="宋体" w:eastAsia="宋体" w:cs="宋体"/>
                <w:color w:val="auto"/>
                <w:sz w:val="21"/>
                <w:szCs w:val="21"/>
                <w:highlight w:val="none"/>
              </w:rPr>
              <w:t>工序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符合要求。</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 使用适宜的设备和过程环境；</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主要生产设备：</w:t>
            </w:r>
            <w:r>
              <w:rPr>
                <w:rFonts w:hint="eastAsia" w:ascii="宋体" w:hAnsi="宋体" w:eastAsia="宋体" w:cs="宋体"/>
                <w:color w:val="auto"/>
                <w:spacing w:val="-10"/>
                <w:sz w:val="21"/>
                <w:szCs w:val="21"/>
                <w:highlight w:val="none"/>
                <w:lang w:val="en-US" w:eastAsia="zh-CN"/>
              </w:rPr>
              <w:t>打板机、拉布机、压衬机、电动缝纫机、锁边机、扦边机、切刀机、双针机、包兜机、熨烫机、锁眼机、钉扣机、打结机、电带机、监控仪</w:t>
            </w:r>
            <w:r>
              <w:rPr>
                <w:rFonts w:hint="eastAsia" w:ascii="宋体" w:hAnsi="宋体" w:eastAsia="宋体" w:cs="宋体"/>
                <w:color w:val="auto"/>
                <w:sz w:val="21"/>
                <w:szCs w:val="21"/>
                <w:highlight w:val="none"/>
                <w:lang w:val="en-US" w:eastAsia="zh-CN"/>
              </w:rPr>
              <w:t>等。能</w:t>
            </w:r>
            <w:r>
              <w:rPr>
                <w:rFonts w:hint="eastAsia" w:ascii="宋体" w:hAnsi="宋体" w:eastAsia="宋体" w:cs="宋体"/>
                <w:color w:val="auto"/>
                <w:sz w:val="21"/>
                <w:szCs w:val="21"/>
                <w:highlight w:val="none"/>
              </w:rPr>
              <w:t>满足生产需要。</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维修及时，有设备日常保养记录.</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过程环境：详见 7.1.4 审核记录</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e）指派胜任的人员，包括所要求的资格；</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f) </w:t>
            </w:r>
            <w:r>
              <w:rPr>
                <w:rFonts w:hint="eastAsia" w:ascii="宋体" w:hAnsi="宋体" w:eastAsia="宋体" w:cs="宋体"/>
                <w:color w:val="auto"/>
                <w:sz w:val="21"/>
                <w:szCs w:val="21"/>
                <w:highlight w:val="none"/>
                <w:lang w:val="en-US" w:eastAsia="zh-CN"/>
              </w:rPr>
              <w:t>识别的需确认的过程：无。</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 实施防止人为错误的措施：体系文件中明确规定了不合格品控制要求：包括原材料的不合格品，生产加工中的不合格品均不准转序，必须按照相关文件、制度执行。</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原材料进货检验均有检验员签字后方可放行；</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生产过程的控制由</w:t>
            </w:r>
            <w:r>
              <w:rPr>
                <w:rFonts w:hint="eastAsia" w:ascii="宋体" w:hAnsi="宋体" w:eastAsia="宋体" w:cs="宋体"/>
                <w:color w:val="auto"/>
                <w:sz w:val="21"/>
                <w:szCs w:val="21"/>
                <w:highlight w:val="none"/>
                <w:lang w:val="en-US" w:eastAsia="zh-CN"/>
              </w:rPr>
              <w:t>二次</w:t>
            </w:r>
            <w:r>
              <w:rPr>
                <w:rFonts w:hint="eastAsia" w:ascii="宋体" w:hAnsi="宋体" w:eastAsia="宋体" w:cs="宋体"/>
                <w:color w:val="auto"/>
                <w:sz w:val="21"/>
                <w:szCs w:val="21"/>
                <w:highlight w:val="none"/>
              </w:rPr>
              <w:t>检验合格后，方可放行；</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成品的检验必须经主管质量负责人确认签字后方可交付。</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 实施产品和服务的放行、交付和交付后的活动：</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查产品交付：根据合同要求进行产品交付。</w:t>
            </w:r>
          </w:p>
          <w:p>
            <w:pPr>
              <w:keepNext w:val="0"/>
              <w:keepLines w:val="0"/>
              <w:pageBreakBefore w:val="0"/>
              <w:widowControl w:val="0"/>
              <w:kinsoku/>
              <w:wordWrap/>
              <w:overflowPunct/>
              <w:topLinePunct w:val="0"/>
              <w:bidi w:val="0"/>
              <w:adjustRightInd/>
              <w:snapToGrid/>
              <w:spacing w:line="360" w:lineRule="auto"/>
              <w:textAlignment w:val="auto"/>
              <w:rPr>
                <w:rFonts w:hint="eastAsia"/>
                <w:color w:val="auto"/>
                <w:highlight w:val="none"/>
                <w:lang w:val="en-US" w:eastAsia="zh-CN"/>
              </w:rPr>
            </w:pPr>
            <w:r>
              <w:rPr>
                <w:rFonts w:hint="eastAsia" w:ascii="宋体" w:hAnsi="宋体" w:eastAsia="宋体" w:cs="宋体"/>
                <w:color w:val="auto"/>
                <w:sz w:val="21"/>
                <w:szCs w:val="21"/>
                <w:highlight w:val="none"/>
              </w:rPr>
              <w:t>查交付后的活动：产品交付后的活动直接由</w:t>
            </w:r>
            <w:r>
              <w:rPr>
                <w:rFonts w:hint="eastAsia" w:ascii="宋体" w:hAnsi="宋体" w:eastAsia="宋体" w:cs="宋体"/>
                <w:color w:val="auto"/>
                <w:sz w:val="21"/>
                <w:szCs w:val="21"/>
                <w:highlight w:val="none"/>
                <w:lang w:val="en-US" w:eastAsia="zh-CN"/>
              </w:rPr>
              <w:t>销售部</w:t>
            </w:r>
            <w:r>
              <w:rPr>
                <w:rFonts w:hint="eastAsia" w:ascii="宋体" w:hAnsi="宋体" w:eastAsia="宋体" w:cs="宋体"/>
                <w:color w:val="auto"/>
                <w:sz w:val="21"/>
                <w:szCs w:val="21"/>
                <w:highlight w:val="none"/>
              </w:rPr>
              <w:t>部负责</w:t>
            </w:r>
            <w:r>
              <w:rPr>
                <w:rFonts w:hint="eastAsia" w:ascii="宋体" w:hAnsi="宋体" w:eastAsia="宋体" w:cs="宋体"/>
                <w:color w:val="auto"/>
                <w:sz w:val="21"/>
                <w:szCs w:val="21"/>
                <w:highlight w:val="none"/>
                <w:lang w:val="en-US" w:eastAsia="zh-CN"/>
              </w:rPr>
              <w:t>组织</w:t>
            </w:r>
            <w:r>
              <w:rPr>
                <w:rFonts w:hint="eastAsia" w:ascii="宋体" w:hAnsi="宋体" w:eastAsia="宋体" w:cs="宋体"/>
                <w:color w:val="auto"/>
                <w:sz w:val="21"/>
                <w:szCs w:val="21"/>
                <w:highlight w:val="none"/>
              </w:rPr>
              <w:t>改进落实。</w:t>
            </w:r>
          </w:p>
        </w:tc>
        <w:tc>
          <w:tcPr>
            <w:tcW w:w="190" w:type="pct"/>
            <w:noWrap w:val="0"/>
            <w:vAlign w:val="top"/>
          </w:tcPr>
          <w:p>
            <w:pPr>
              <w:rPr>
                <w:color w:val="auto"/>
                <w:kern w:val="2"/>
                <w:sz w:val="21"/>
                <w:szCs w:val="21"/>
                <w:highlight w:val="none"/>
                <w:lang w:val="en-US" w:eastAsia="zh-CN" w:bidi="ar-SA"/>
              </w:rPr>
            </w:pPr>
          </w:p>
        </w:tc>
      </w:tr>
    </w:tbl>
    <w:p/>
    <w:p>
      <w:pPr>
        <w:pStyle w:val="9"/>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7"/>
        <w:rFonts w:hint="default"/>
        <w:w w:val="90"/>
      </w:rPr>
      <w:t>Beijing International Standard united Certification Co.,Ltd.</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F6B91"/>
    <w:multiLevelType w:val="singleLevel"/>
    <w:tmpl w:val="C1DF6B91"/>
    <w:lvl w:ilvl="0" w:tentative="0">
      <w:start w:val="1"/>
      <w:numFmt w:val="decimal"/>
      <w:suff w:val="nothing"/>
      <w:lvlText w:val="%1）"/>
      <w:lvlJc w:val="left"/>
    </w:lvl>
  </w:abstractNum>
  <w:abstractNum w:abstractNumId="1">
    <w:nsid w:val="EBC8AFF8"/>
    <w:multiLevelType w:val="singleLevel"/>
    <w:tmpl w:val="EBC8AFF8"/>
    <w:lvl w:ilvl="0" w:tentative="0">
      <w:start w:val="1"/>
      <w:numFmt w:val="decimal"/>
      <w:lvlText w:val="%1."/>
      <w:lvlJc w:val="left"/>
      <w:pPr>
        <w:tabs>
          <w:tab w:val="left" w:pos="312"/>
        </w:tabs>
      </w:pPr>
    </w:lvl>
  </w:abstractNum>
  <w:abstractNum w:abstractNumId="2">
    <w:nsid w:val="EF9A2A8C"/>
    <w:multiLevelType w:val="singleLevel"/>
    <w:tmpl w:val="EF9A2A8C"/>
    <w:lvl w:ilvl="0" w:tentative="0">
      <w:start w:val="1"/>
      <w:numFmt w:val="decimal"/>
      <w:lvlText w:val="%1."/>
      <w:lvlJc w:val="left"/>
      <w:pPr>
        <w:tabs>
          <w:tab w:val="left" w:pos="312"/>
        </w:tabs>
      </w:pPr>
    </w:lvl>
  </w:abstractNum>
  <w:abstractNum w:abstractNumId="3">
    <w:nsid w:val="FC3B3ACF"/>
    <w:multiLevelType w:val="singleLevel"/>
    <w:tmpl w:val="FC3B3ACF"/>
    <w:lvl w:ilvl="0" w:tentative="0">
      <w:start w:val="1"/>
      <w:numFmt w:val="decimal"/>
      <w:lvlText w:val="%1."/>
      <w:lvlJc w:val="left"/>
      <w:pPr>
        <w:tabs>
          <w:tab w:val="left" w:pos="312"/>
        </w:tabs>
      </w:pPr>
    </w:lvl>
  </w:abstractNum>
  <w:abstractNum w:abstractNumId="4">
    <w:nsid w:val="64E9BC97"/>
    <w:multiLevelType w:val="singleLevel"/>
    <w:tmpl w:val="64E9BC97"/>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033F5"/>
    <w:rsid w:val="00D017E7"/>
    <w:rsid w:val="03425F69"/>
    <w:rsid w:val="07042FF8"/>
    <w:rsid w:val="08910E93"/>
    <w:rsid w:val="08EF4E16"/>
    <w:rsid w:val="0C480AD0"/>
    <w:rsid w:val="123F34F8"/>
    <w:rsid w:val="222536BF"/>
    <w:rsid w:val="22313937"/>
    <w:rsid w:val="22936206"/>
    <w:rsid w:val="24D431D4"/>
    <w:rsid w:val="28D563D7"/>
    <w:rsid w:val="2D840DBF"/>
    <w:rsid w:val="359361AF"/>
    <w:rsid w:val="45850D12"/>
    <w:rsid w:val="469737BE"/>
    <w:rsid w:val="54C436A4"/>
    <w:rsid w:val="56FA2E10"/>
    <w:rsid w:val="59065924"/>
    <w:rsid w:val="59EB312B"/>
    <w:rsid w:val="5BA67705"/>
    <w:rsid w:val="5E2232D1"/>
    <w:rsid w:val="64095D0E"/>
    <w:rsid w:val="67DC3456"/>
    <w:rsid w:val="6EF54DDB"/>
    <w:rsid w:val="73B0016F"/>
    <w:rsid w:val="73D67EB4"/>
    <w:rsid w:val="741A3FCD"/>
    <w:rsid w:val="7CFB2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next w:val="5"/>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ParaAttribute27"/>
    <w:uiPriority w:val="0"/>
    <w:pPr>
      <w:widowControl w:val="0"/>
      <w:wordWrap w:val="0"/>
      <w:ind w:firstLine="420"/>
    </w:pPr>
    <w:rPr>
      <w:rFonts w:ascii="Times New Roman" w:hAnsi="Times New Roman" w:eastAsia="Batang" w:cs="Times New Roman"/>
      <w:lang w:val="en-US" w:eastAsia="zh-CN" w:bidi="ar-SA"/>
    </w:rPr>
  </w:style>
  <w:style w:type="character" w:customStyle="1" w:styleId="19">
    <w:name w:val="CharAttribute43"/>
    <w:qFormat/>
    <w:uiPriority w:val="0"/>
    <w:rPr>
      <w:rFonts w:ascii="宋体" w:eastAsia="Arial"/>
      <w:sz w:val="21"/>
    </w:rPr>
  </w:style>
  <w:style w:type="paragraph" w:customStyle="1" w:styleId="20">
    <w:name w:val="ParaAttribute25"/>
    <w:qFormat/>
    <w:uiPriority w:val="0"/>
    <w:pPr>
      <w:widowControl w:val="0"/>
      <w:wordWrap w:val="0"/>
      <w:ind w:firstLine="405"/>
    </w:pPr>
    <w:rPr>
      <w:rFonts w:ascii="Times New Roman" w:hAnsi="Times New Roman" w:eastAsia="Batang" w:cs="Times New Roman"/>
      <w:lang w:val="en-US" w:eastAsia="zh-CN" w:bidi="ar-SA"/>
    </w:rPr>
  </w:style>
  <w:style w:type="character" w:customStyle="1" w:styleId="21">
    <w:name w:val="CharAttribute36"/>
    <w:qFormat/>
    <w:uiPriority w:val="0"/>
    <w:rPr>
      <w:rFonts w:ascii="宋体" w:eastAsia="宋体"/>
      <w:sz w:val="21"/>
    </w:rPr>
  </w:style>
  <w:style w:type="character" w:customStyle="1" w:styleId="22">
    <w:name w:val="CharAttribute70"/>
    <w:qFormat/>
    <w:uiPriority w:val="0"/>
    <w:rPr>
      <w:rFonts w:ascii="宋体" w:eastAsia="Arial"/>
      <w:color w:val="FF000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2021-05-28T02:44:41Z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3E9854702A8B4C13B5864FA9BA70E4A5</vt:lpwstr>
  </property>
</Properties>
</file>