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bookmarkStart w:id="25" w:name="_GoBack"/>
      <w:bookmarkEnd w:id="25"/>
      <w:r>
        <w:rPr>
          <w:rFonts w:hint="eastAsia" w:ascii="楷体" w:hAnsi="楷体" w:eastAsia="楷体"/>
          <w:color w:val="000000"/>
          <w:sz w:val="28"/>
          <w:szCs w:val="28"/>
        </w:rPr>
        <w:t>合同编号：</w:t>
      </w:r>
      <w:bookmarkStart w:id="0" w:name="合同编号"/>
      <w:r>
        <w:rPr>
          <w:color w:val="000000"/>
        </w:rPr>
        <w:t>0488-2021-Q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重庆安贵机械有限公司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22.03.02,22.05.01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3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重庆安贵机械有限公司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重庆市九龙坡区西彭镇森迪大道9号</w:t>
            </w:r>
            <w:bookmarkEnd w:id="10"/>
          </w:p>
        </w:tc>
        <w:tc>
          <w:tcPr>
            <w:tcW w:w="83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63"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837" w:type="dxa"/>
            <w:vMerge w:val="continue"/>
            <w:vAlign w:val="center"/>
          </w:tcPr>
          <w:p>
            <w:pPr>
              <w:spacing w:line="280" w:lineRule="exact"/>
              <w:jc w:val="center"/>
              <w:rPr>
                <w:rFonts w:ascii="宋体"/>
                <w:b/>
                <w:color w:val="000000"/>
                <w:sz w:val="20"/>
                <w:szCs w:val="20"/>
              </w:rPr>
            </w:pPr>
          </w:p>
        </w:tc>
        <w:tc>
          <w:tcPr>
            <w:tcW w:w="1963"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重庆市高新区含谷镇崇兴村1社</w:t>
            </w:r>
            <w:bookmarkEnd w:id="14"/>
          </w:p>
        </w:tc>
        <w:tc>
          <w:tcPr>
            <w:tcW w:w="837" w:type="dxa"/>
            <w:vMerge w:val="continue"/>
            <w:vAlign w:val="center"/>
          </w:tcPr>
          <w:p>
            <w:pPr>
              <w:spacing w:line="280" w:lineRule="exact"/>
              <w:jc w:val="center"/>
              <w:rPr>
                <w:rFonts w:ascii="宋体"/>
                <w:b/>
                <w:color w:val="000000"/>
                <w:sz w:val="20"/>
                <w:szCs w:val="20"/>
              </w:rPr>
            </w:pPr>
          </w:p>
        </w:tc>
        <w:tc>
          <w:tcPr>
            <w:tcW w:w="1963"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023-65730553</w:t>
            </w:r>
            <w:bookmarkEnd w:id="17"/>
          </w:p>
        </w:tc>
        <w:tc>
          <w:tcPr>
            <w:tcW w:w="83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63"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范军</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刘霞</w:t>
            </w:r>
            <w:bookmarkEnd w:id="20"/>
          </w:p>
        </w:tc>
        <w:tc>
          <w:tcPr>
            <w:tcW w:w="837" w:type="dxa"/>
          </w:tcPr>
          <w:p>
            <w:pPr>
              <w:jc w:val="center"/>
              <w:rPr>
                <w:rFonts w:ascii="宋体"/>
                <w:b/>
                <w:color w:val="000000"/>
                <w:sz w:val="20"/>
                <w:szCs w:val="20"/>
              </w:rPr>
            </w:pPr>
            <w:r>
              <w:rPr>
                <w:rFonts w:hint="eastAsia" w:ascii="宋体"/>
                <w:b/>
                <w:color w:val="000000"/>
                <w:sz w:val="20"/>
                <w:szCs w:val="20"/>
              </w:rPr>
              <w:t>邮箱</w:t>
            </w:r>
          </w:p>
        </w:tc>
        <w:tc>
          <w:tcPr>
            <w:tcW w:w="1963" w:type="dxa"/>
          </w:tcPr>
          <w:p>
            <w:pPr>
              <w:rPr>
                <w:rFonts w:ascii="宋体"/>
                <w:b/>
                <w:color w:val="000000"/>
                <w:sz w:val="20"/>
                <w:szCs w:val="20"/>
              </w:rPr>
            </w:pPr>
            <w:bookmarkStart w:id="21" w:name="联系人邮箱Add1"/>
            <w:r>
              <w:rPr>
                <w:rFonts w:ascii="宋体"/>
                <w:b/>
                <w:color w:val="000000"/>
                <w:sz w:val="20"/>
                <w:szCs w:val="20"/>
              </w:rPr>
              <w:t>1601233034@qq.com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汽车、摩托车金属覆盖件的加工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22.03.02;22.05.01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质量手册、程序文件、内审、管理评审等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综合部、供销部、生产部、品质部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生产及办公场所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auto"/>
                <w:sz w:val="20"/>
                <w:szCs w:val="20"/>
              </w:rPr>
            </w:pPr>
            <w:r>
              <w:rPr>
                <w:rFonts w:hint="eastAsia" w:ascii="宋体" w:hAnsi="宋体"/>
                <w:color w:val="auto"/>
                <w:sz w:val="20"/>
                <w:szCs w:val="20"/>
              </w:rPr>
              <w:t>是否建立了适用外来文件清单</w:t>
            </w:r>
          </w:p>
        </w:tc>
        <w:tc>
          <w:tcPr>
            <w:tcW w:w="970" w:type="dxa"/>
            <w:gridSpan w:val="2"/>
            <w:vAlign w:val="center"/>
          </w:tcPr>
          <w:p>
            <w:pPr>
              <w:rPr>
                <w:rFonts w:ascii="宋体"/>
                <w:color w:val="auto"/>
                <w:sz w:val="20"/>
                <w:szCs w:val="20"/>
              </w:rPr>
            </w:pPr>
            <w:r>
              <w:rPr>
                <w:rFonts w:hint="eastAsia"/>
                <w:b/>
                <w:color w:val="auto"/>
                <w:spacing w:val="-10"/>
                <w:szCs w:val="21"/>
              </w:rPr>
              <w:t>☑</w:t>
            </w:r>
            <w:r>
              <w:rPr>
                <w:rFonts w:hint="eastAsia" w:ascii="宋体" w:hAnsi="宋体"/>
                <w:color w:val="auto"/>
                <w:sz w:val="20"/>
                <w:szCs w:val="20"/>
              </w:rPr>
              <w:t>是</w:t>
            </w:r>
          </w:p>
        </w:tc>
        <w:tc>
          <w:tcPr>
            <w:tcW w:w="1308" w:type="dxa"/>
            <w:gridSpan w:val="2"/>
            <w:vAlign w:val="center"/>
          </w:tcPr>
          <w:p>
            <w:pPr>
              <w:rPr>
                <w:rFonts w:ascii="宋体"/>
                <w:color w:val="auto"/>
                <w:sz w:val="20"/>
                <w:szCs w:val="20"/>
              </w:rPr>
            </w:pP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auto"/>
                <w:sz w:val="20"/>
                <w:szCs w:val="20"/>
              </w:rPr>
            </w:pPr>
            <w:r>
              <w:rPr>
                <w:rFonts w:hint="eastAsia" w:ascii="宋体" w:hAnsi="宋体"/>
                <w:color w:val="auto"/>
                <w:sz w:val="20"/>
                <w:szCs w:val="20"/>
              </w:rPr>
              <w:t>收集的法律、法规、标准（产品标准、服务标准）是否充分</w:t>
            </w:r>
          </w:p>
        </w:tc>
        <w:tc>
          <w:tcPr>
            <w:tcW w:w="970" w:type="dxa"/>
            <w:gridSpan w:val="2"/>
            <w:vAlign w:val="center"/>
          </w:tcPr>
          <w:p>
            <w:pPr>
              <w:rPr>
                <w:rFonts w:ascii="宋体"/>
                <w:color w:val="auto"/>
                <w:spacing w:val="-10"/>
                <w:sz w:val="20"/>
                <w:szCs w:val="20"/>
              </w:rPr>
            </w:pPr>
            <w:r>
              <w:rPr>
                <w:rFonts w:hint="eastAsia"/>
                <w:b/>
                <w:color w:val="auto"/>
                <w:spacing w:val="-10"/>
                <w:szCs w:val="21"/>
                <w:lang w:eastAsia="zh-CN"/>
              </w:rPr>
              <w:t>☑</w:t>
            </w:r>
            <w:r>
              <w:rPr>
                <w:rFonts w:hint="eastAsia" w:ascii="宋体" w:hAnsi="宋体"/>
                <w:color w:val="auto"/>
                <w:sz w:val="20"/>
                <w:szCs w:val="20"/>
              </w:rPr>
              <w:t>充分</w:t>
            </w:r>
          </w:p>
        </w:tc>
        <w:tc>
          <w:tcPr>
            <w:tcW w:w="1308" w:type="dxa"/>
            <w:gridSpan w:val="2"/>
            <w:vAlign w:val="center"/>
          </w:tcPr>
          <w:p>
            <w:pPr>
              <w:rPr>
                <w:rFonts w:ascii="宋体"/>
                <w:color w:val="auto"/>
                <w:spacing w:val="-10"/>
                <w:sz w:val="20"/>
                <w:szCs w:val="20"/>
              </w:rPr>
            </w:pPr>
            <w:r>
              <w:rPr>
                <w:rFonts w:hint="eastAsia"/>
                <w:b/>
                <w:color w:val="auto"/>
                <w:spacing w:val="-10"/>
                <w:szCs w:val="21"/>
                <w:lang w:eastAsia="zh-CN"/>
              </w:rPr>
              <w:t>□</w:t>
            </w:r>
            <w:r>
              <w:rPr>
                <w:rFonts w:hint="eastAsia" w:ascii="宋体" w:hAnsi="宋体"/>
                <w:color w:val="auto"/>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w:t>
            </w:r>
            <w:r>
              <w:rPr>
                <w:rFonts w:hint="eastAsia" w:ascii="宋体" w:hAnsi="宋体"/>
                <w:color w:val="000000" w:themeColor="text1"/>
                <w:sz w:val="20"/>
                <w:szCs w:val="20"/>
              </w:rPr>
              <w:t>是否进行了过程识别</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sz w:val="20"/>
                <w:szCs w:val="20"/>
                <w:highlight w:val="none"/>
              </w:rPr>
            </w:pPr>
            <w:r>
              <w:rPr>
                <w:rFonts w:hint="eastAsia" w:ascii="宋体" w:hAnsi="宋体"/>
                <w:sz w:val="20"/>
                <w:szCs w:val="20"/>
                <w:highlight w:val="none"/>
              </w:rPr>
              <w:t>（5）是否有特殊过程</w:t>
            </w:r>
          </w:p>
        </w:tc>
        <w:tc>
          <w:tcPr>
            <w:tcW w:w="970" w:type="dxa"/>
            <w:gridSpan w:val="2"/>
            <w:vAlign w:val="top"/>
          </w:tcPr>
          <w:p>
            <w:pPr>
              <w:rPr>
                <w:rFonts w:ascii="宋体" w:hAnsi="宋体" w:eastAsia="宋体" w:cs="Times New Roman"/>
                <w:color w:val="000000" w:themeColor="text1"/>
                <w:kern w:val="2"/>
                <w:sz w:val="20"/>
                <w:szCs w:val="20"/>
                <w:lang w:val="en-US" w:eastAsia="zh-CN" w:bidi="ar-SA"/>
              </w:rPr>
            </w:pPr>
            <w:r>
              <w:rPr>
                <w:rFonts w:hint="eastAsia" w:ascii="宋体" w:hAnsi="宋体"/>
                <w:color w:val="000000"/>
                <w:sz w:val="20"/>
                <w:szCs w:val="20"/>
              </w:rPr>
              <w:t>□</w:t>
            </w:r>
            <w:r>
              <w:rPr>
                <w:rFonts w:hint="eastAsia" w:ascii="宋体" w:hAnsi="宋体"/>
                <w:color w:val="000000" w:themeColor="text1"/>
                <w:sz w:val="20"/>
                <w:szCs w:val="20"/>
              </w:rPr>
              <w:t>是</w:t>
            </w:r>
          </w:p>
        </w:tc>
        <w:tc>
          <w:tcPr>
            <w:tcW w:w="1308" w:type="dxa"/>
            <w:gridSpan w:val="2"/>
            <w:vAlign w:val="top"/>
          </w:tcPr>
          <w:p>
            <w:pPr>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sz w:val="20"/>
                <w:szCs w:val="20"/>
                <w:highlight w:val="none"/>
              </w:rPr>
            </w:pPr>
            <w:r>
              <w:rPr>
                <w:rFonts w:hint="eastAsia" w:ascii="宋体" w:hAnsi="宋体"/>
                <w:sz w:val="20"/>
                <w:szCs w:val="20"/>
                <w:highlight w:val="none"/>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汽车、摩托车金属覆盖件的加工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综合部、供销部、生产部、品质部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rPr>
              <w:t>品质部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重庆市高新区含谷镇崇兴村1社</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w:t>
            </w:r>
            <w:r>
              <w:rPr>
                <w:rFonts w:hint="eastAsia" w:ascii="宋体" w:hAnsi="宋体"/>
                <w:color w:val="000000"/>
                <w:spacing w:val="-10"/>
                <w:sz w:val="20"/>
                <w:szCs w:val="20"/>
                <w:highlight w:val="none"/>
              </w:rPr>
              <w:t>用房</w:t>
            </w:r>
            <w:r>
              <w:rPr>
                <w:rFonts w:hint="eastAsia" w:ascii="宋体" w:hAnsi="宋体"/>
                <w:color w:val="000000"/>
                <w:spacing w:val="-10"/>
                <w:sz w:val="20"/>
                <w:szCs w:val="20"/>
                <w:highlight w:val="none"/>
              </w:rPr>
              <w:sym w:font="Wingdings 2" w:char="0052"/>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hAnsi="宋体"/>
                <w:szCs w:val="21"/>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szCs w:val="21"/>
              </w:rPr>
              <w:t>GB/T1804-2000《一般公差标准》</w:t>
            </w:r>
            <w:r>
              <w:rPr>
                <w:rFonts w:hint="eastAsia" w:ascii="宋体" w:hAnsi="宋体"/>
                <w:szCs w:val="21"/>
                <w:lang w:eastAsia="zh-CN"/>
              </w:rPr>
              <w:t>、</w:t>
            </w:r>
            <w:r>
              <w:rPr>
                <w:rFonts w:hint="eastAsia" w:ascii="宋体" w:hAnsi="宋体"/>
                <w:szCs w:val="21"/>
              </w:rPr>
              <w:t>GB 13887-2008</w:t>
            </w:r>
            <w:r>
              <w:rPr>
                <w:rFonts w:hint="default" w:ascii="宋体" w:hAnsi="宋体"/>
                <w:szCs w:val="21"/>
              </w:rPr>
              <w:t>冷冲压安全规程</w:t>
            </w:r>
            <w:r>
              <w:rPr>
                <w:rFonts w:hint="eastAsia" w:ascii="宋体" w:hAnsi="宋体"/>
                <w:szCs w:val="21"/>
              </w:rPr>
              <w:t>、GB/T 13914-2013</w:t>
            </w:r>
            <w:r>
              <w:rPr>
                <w:rFonts w:hint="default" w:ascii="宋体" w:hAnsi="宋体"/>
                <w:szCs w:val="21"/>
              </w:rPr>
              <w:t>冲压件尺寸公差</w:t>
            </w:r>
            <w:r>
              <w:rPr>
                <w:rFonts w:hint="eastAsia" w:ascii="宋体" w:hAnsi="宋体"/>
                <w:szCs w:val="21"/>
                <w:lang w:eastAsia="zh-CN"/>
              </w:rPr>
              <w:t>、</w:t>
            </w:r>
            <w:r>
              <w:rPr>
                <w:rFonts w:hint="eastAsia" w:ascii="宋体" w:hAnsi="宋体"/>
                <w:szCs w:val="21"/>
              </w:rPr>
              <w:t>GB/T 15055-2007</w:t>
            </w:r>
            <w:r>
              <w:rPr>
                <w:rFonts w:hint="default" w:ascii="宋体" w:hAnsi="宋体"/>
                <w:szCs w:val="21"/>
              </w:rPr>
              <w:t>冲压件未注公差尺寸极限偏差</w:t>
            </w:r>
            <w:r>
              <w:rPr>
                <w:rFonts w:hint="eastAsia" w:ascii="宋体" w:hAnsi="宋体"/>
                <w:szCs w:val="21"/>
                <w:lang w:eastAsia="zh-CN"/>
              </w:rPr>
              <w:t>、</w:t>
            </w:r>
            <w:r>
              <w:rPr>
                <w:rFonts w:hint="eastAsia" w:ascii="宋体" w:hAnsi="宋体"/>
                <w:szCs w:val="21"/>
              </w:rPr>
              <w:t>GB 8176-2012</w:t>
            </w:r>
            <w:r>
              <w:rPr>
                <w:rFonts w:hint="default" w:ascii="宋体" w:hAnsi="宋体"/>
                <w:szCs w:val="21"/>
              </w:rPr>
              <w:t>冲压车间安全生产通则</w:t>
            </w:r>
            <w:r>
              <w:rPr>
                <w:rFonts w:hint="eastAsia" w:ascii="宋体" w:hAnsi="宋体"/>
                <w:szCs w:val="21"/>
                <w:lang w:eastAsia="zh-CN"/>
              </w:rPr>
              <w:t>、</w:t>
            </w:r>
            <w:r>
              <w:rPr>
                <w:rFonts w:hint="eastAsia" w:ascii="宋体" w:hAnsi="宋体"/>
                <w:szCs w:val="21"/>
              </w:rPr>
              <w:t>GB-T708-2006《冷轧钢板和钢带的尺寸、外形、重量及允许偏差》等标准及客户技术、工艺要求。</w:t>
            </w:r>
          </w:p>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现场是否有产品检验报告</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是否接受了行政主管部门的抽查</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否，抽查结果</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合格</w:t>
            </w:r>
            <w:r>
              <w:rPr>
                <w:rFonts w:hint="eastAsia" w:ascii="宋体" w:hAnsi="宋体"/>
                <w:color w:val="000000"/>
                <w:spacing w:val="-10"/>
                <w:sz w:val="20"/>
                <w:szCs w:val="20"/>
                <w:highlight w:val="none"/>
              </w:rPr>
              <w:t>□</w:t>
            </w:r>
            <w:r>
              <w:rPr>
                <w:rFonts w:hint="eastAsia" w:ascii="宋体" w:hAnsi="宋体"/>
                <w:color w:val="000000"/>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hAnsi="宋体"/>
                <w:sz w:val="20"/>
                <w:szCs w:val="20"/>
              </w:rPr>
            </w:pPr>
            <w:r>
              <w:rPr>
                <w:rFonts w:hint="eastAsia" w:ascii="宋体" w:hAnsi="宋体"/>
                <w:szCs w:val="21"/>
              </w:rPr>
              <w:t>汽车、摩托车金属覆盖件的加工</w:t>
            </w:r>
            <w:r>
              <w:rPr>
                <w:rFonts w:hint="eastAsia" w:ascii="宋体" w:hAnsi="宋体"/>
                <w:sz w:val="20"/>
                <w:szCs w:val="20"/>
              </w:rPr>
              <w:t>工艺流程</w:t>
            </w:r>
          </w:p>
          <w:p>
            <w:pPr>
              <w:rPr>
                <w:rFonts w:hint="eastAsia" w:ascii="宋体" w:eastAsia="宋体"/>
                <w:sz w:val="20"/>
                <w:szCs w:val="20"/>
                <w:lang w:eastAsia="zh-CN"/>
              </w:rPr>
            </w:pPr>
            <w:r>
              <w:rPr>
                <w:rFonts w:hint="eastAsia" w:ascii="宋体" w:hAnsi="宋体"/>
                <w:szCs w:val="21"/>
                <w:lang w:eastAsia="zh-CN"/>
              </w:rPr>
              <w:t>下料----液压成型---切边---冲孔---检验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spacing w:val="-10"/>
                <w:sz w:val="20"/>
                <w:szCs w:val="20"/>
                <w:highlight w:val="none"/>
              </w:rPr>
            </w:pPr>
            <w:r>
              <w:rPr>
                <w:rFonts w:hint="eastAsia" w:ascii="宋体" w:hAnsi="宋体"/>
                <w:spacing w:val="-10"/>
                <w:sz w:val="20"/>
                <w:szCs w:val="20"/>
                <w:highlight w:val="none"/>
              </w:rPr>
              <w:t>关键过程有：冲压过程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hAnsi="宋体"/>
                <w:spacing w:val="-10"/>
                <w:sz w:val="20"/>
                <w:szCs w:val="20"/>
              </w:rPr>
            </w:pPr>
            <w:r>
              <w:rPr>
                <w:rFonts w:hint="eastAsia" w:ascii="宋体" w:hAnsi="宋体"/>
                <w:spacing w:val="-10"/>
                <w:sz w:val="20"/>
                <w:szCs w:val="20"/>
              </w:rPr>
              <w:t>针对关键过程建立的控制文件有：过程监视和测量控制程序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hAnsi="宋体"/>
                <w:spacing w:val="-10"/>
                <w:sz w:val="20"/>
                <w:szCs w:val="20"/>
              </w:rPr>
            </w:pPr>
            <w:r>
              <w:rPr>
                <w:rFonts w:hint="eastAsia" w:ascii="宋体" w:hAnsi="宋体"/>
                <w:spacing w:val="-10"/>
                <w:sz w:val="20"/>
                <w:szCs w:val="20"/>
              </w:rPr>
              <w:t>需要确认过程：无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spacing w:val="-10"/>
                <w:sz w:val="20"/>
                <w:szCs w:val="20"/>
              </w:rPr>
            </w:pPr>
            <w:r>
              <w:rPr>
                <w:rFonts w:hint="eastAsia" w:ascii="宋体" w:hAnsi="宋体"/>
                <w:spacing w:val="-10"/>
                <w:sz w:val="20"/>
                <w:szCs w:val="20"/>
              </w:rPr>
              <w:t>是否明确了过程的确认方法</w:t>
            </w:r>
            <w:r>
              <w:rPr>
                <w:rFonts w:hint="eastAsia" w:ascii="宋体" w:hAnsi="宋体"/>
                <w:spacing w:val="-10"/>
                <w:sz w:val="20"/>
                <w:szCs w:val="20"/>
                <w:lang w:eastAsia="zh-CN"/>
              </w:rPr>
              <w:t>□</w:t>
            </w:r>
            <w:r>
              <w:rPr>
                <w:rFonts w:hint="eastAsia" w:ascii="宋体" w:hAnsi="宋体"/>
                <w:spacing w:val="-10"/>
                <w:sz w:val="20"/>
                <w:szCs w:val="20"/>
              </w:rPr>
              <w:t>是</w:t>
            </w:r>
            <w:r>
              <w:rPr>
                <w:rFonts w:hint="eastAsia" w:ascii="宋体" w:hAnsi="宋体"/>
                <w:spacing w:val="-10"/>
                <w:sz w:val="20"/>
                <w:szCs w:val="20"/>
              </w:rPr>
              <w:sym w:font="Wingdings 2" w:char="00A3"/>
            </w:r>
            <w:r>
              <w:rPr>
                <w:rFonts w:hint="eastAsia" w:ascii="宋体" w:hAnsi="宋体"/>
                <w:spacing w:val="-10"/>
                <w:sz w:val="20"/>
                <w:szCs w:val="20"/>
              </w:rPr>
              <w:t>否是否明确了过程的确认准则</w:t>
            </w:r>
            <w:r>
              <w:rPr>
                <w:rFonts w:hint="eastAsia" w:ascii="宋体" w:hAnsi="宋体"/>
                <w:spacing w:val="-10"/>
                <w:sz w:val="20"/>
                <w:szCs w:val="20"/>
                <w:lang w:eastAsia="zh-CN"/>
              </w:rPr>
              <w:t>□</w:t>
            </w:r>
            <w:r>
              <w:rPr>
                <w:rFonts w:hint="eastAsia" w:ascii="宋体" w:hAnsi="宋体"/>
                <w:spacing w:val="-10"/>
                <w:sz w:val="20"/>
                <w:szCs w:val="20"/>
              </w:rPr>
              <w:t>是</w:t>
            </w:r>
            <w:r>
              <w:rPr>
                <w:rFonts w:hint="eastAsia" w:ascii="宋体" w:hAnsi="宋体"/>
                <w:spacing w:val="-10"/>
                <w:sz w:val="20"/>
                <w:szCs w:val="20"/>
              </w:rPr>
              <w:sym w:font="Wingdings 2" w:char="00A3"/>
            </w:r>
            <w:r>
              <w:rPr>
                <w:rFonts w:hint="eastAsia" w:ascii="宋体" w:hAnsi="宋体"/>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spacing w:val="-10"/>
                <w:sz w:val="20"/>
                <w:szCs w:val="20"/>
              </w:rPr>
            </w:pPr>
            <w:r>
              <w:rPr>
                <w:rFonts w:hint="eastAsia" w:ascii="宋体" w:hAnsi="宋体"/>
                <w:spacing w:val="-1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spacing w:val="-10"/>
                <w:sz w:val="20"/>
                <w:szCs w:val="20"/>
              </w:rPr>
            </w:pPr>
            <w:r>
              <w:rPr>
                <w:rFonts w:hint="eastAsia" w:ascii="宋体" w:hAnsi="宋体"/>
                <w:spacing w:val="-1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hAnsi="宋体"/>
                <w:spacing w:val="-10"/>
                <w:sz w:val="20"/>
                <w:szCs w:val="20"/>
                <w:highlight w:val="none"/>
              </w:rPr>
            </w:pPr>
            <w:r>
              <w:rPr>
                <w:rFonts w:hint="eastAsia" w:ascii="宋体" w:hAnsi="宋体"/>
                <w:spacing w:val="-10"/>
                <w:sz w:val="20"/>
                <w:szCs w:val="20"/>
                <w:highlight w:val="none"/>
              </w:rPr>
              <w:t>主要设备：冲床、剪板机、</w:t>
            </w:r>
            <w:r>
              <w:rPr>
                <w:rFonts w:hint="eastAsia" w:ascii="宋体" w:hAnsi="宋体"/>
                <w:spacing w:val="-10"/>
                <w:sz w:val="20"/>
                <w:szCs w:val="20"/>
                <w:highlight w:val="none"/>
                <w:lang w:eastAsia="zh-CN"/>
              </w:rPr>
              <w:t>液压机</w:t>
            </w:r>
            <w:r>
              <w:rPr>
                <w:rFonts w:hint="eastAsia" w:ascii="宋体" w:hAnsi="宋体"/>
                <w:spacing w:val="-10"/>
                <w:sz w:val="20"/>
                <w:szCs w:val="20"/>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spacing w:val="-10"/>
                <w:sz w:val="20"/>
                <w:szCs w:val="20"/>
              </w:rPr>
            </w:pPr>
            <w:r>
              <w:rPr>
                <w:rFonts w:hint="eastAsia" w:ascii="宋体" w:hAnsi="宋体"/>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spacing w:val="-10"/>
                <w:sz w:val="20"/>
                <w:szCs w:val="20"/>
                <w:highlight w:val="none"/>
                <w:lang w:val="en-US" w:eastAsia="zh-CN"/>
              </w:rPr>
            </w:pPr>
            <w:r>
              <w:rPr>
                <w:rFonts w:hint="eastAsia" w:ascii="宋体" w:hAnsi="宋体"/>
                <w:spacing w:val="-10"/>
                <w:sz w:val="20"/>
                <w:szCs w:val="20"/>
                <w:highlight w:val="none"/>
              </w:rPr>
              <w:t>特种设备：行车一台（2.8T），无需年检</w:t>
            </w:r>
            <w:r>
              <w:rPr>
                <w:rFonts w:hint="eastAsia" w:ascii="宋体" w:hAnsi="宋体"/>
                <w:spacing w:val="-10"/>
                <w:sz w:val="20"/>
                <w:szCs w:val="20"/>
                <w:highlight w:val="none"/>
                <w:lang w:eastAsia="zh-CN"/>
              </w:rPr>
              <w:t>，</w:t>
            </w:r>
            <w:r>
              <w:rPr>
                <w:rFonts w:hint="eastAsia" w:ascii="宋体" w:hAnsi="宋体"/>
                <w:spacing w:val="-10"/>
                <w:sz w:val="20"/>
                <w:szCs w:val="20"/>
                <w:highlight w:val="none"/>
                <w:lang w:val="en-US" w:eastAsia="zh-CN"/>
              </w:rPr>
              <w:t>行车已停用。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highlight w:val="none"/>
              </w:rPr>
            </w:pPr>
            <w:r>
              <w:rPr>
                <w:rFonts w:hint="eastAsia" w:ascii="宋体" w:hAnsi="宋体"/>
                <w:color w:val="000000" w:themeColor="text1"/>
                <w:spacing w:val="-10"/>
                <w:sz w:val="20"/>
                <w:szCs w:val="20"/>
                <w:highlight w:val="none"/>
              </w:rPr>
              <w:t xml:space="preserve">特种设备是否按规定检定            </w:t>
            </w:r>
            <w:r>
              <w:rPr>
                <w:rFonts w:hint="eastAsia" w:ascii="宋体" w:hAnsi="宋体"/>
                <w:color w:val="000000" w:themeColor="text1"/>
                <w:spacing w:val="-10"/>
                <w:sz w:val="20"/>
                <w:szCs w:val="20"/>
                <w:highlight w:val="none"/>
                <w:lang w:eastAsia="zh-CN"/>
              </w:rPr>
              <w:t>□</w:t>
            </w:r>
            <w:r>
              <w:rPr>
                <w:rFonts w:hint="eastAsia" w:ascii="宋体" w:hAnsi="宋体"/>
                <w:color w:val="000000" w:themeColor="text1"/>
                <w:spacing w:val="-1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hAnsi="宋体"/>
                <w:color w:val="000000"/>
                <w:spacing w:val="-10"/>
                <w:sz w:val="20"/>
                <w:szCs w:val="20"/>
                <w:highlight w:val="none"/>
              </w:rPr>
            </w:pPr>
            <w:r>
              <w:rPr>
                <w:rFonts w:hint="eastAsia" w:ascii="宋体" w:hAnsi="宋体"/>
                <w:color w:val="000000"/>
                <w:spacing w:val="-10"/>
                <w:sz w:val="20"/>
                <w:szCs w:val="20"/>
                <w:highlight w:val="none"/>
              </w:rPr>
              <w:t>监视和测量设备（请简述主要监视和测量设备）</w:t>
            </w:r>
            <w:r>
              <w:rPr>
                <w:rFonts w:hint="eastAsia" w:ascii="宋体" w:hAnsi="宋体"/>
                <w:spacing w:val="-10"/>
                <w:sz w:val="20"/>
                <w:szCs w:val="20"/>
                <w:highlight w:val="none"/>
              </w:rPr>
              <w:t>：</w:t>
            </w:r>
            <w:r>
              <w:rPr>
                <w:rFonts w:hint="eastAsia" w:ascii="宋体" w:hAnsi="宋体"/>
                <w:szCs w:val="21"/>
                <w:highlight w:val="none"/>
              </w:rPr>
              <w:t>游标卡尺、高度尺、</w:t>
            </w:r>
            <w:r>
              <w:rPr>
                <w:rFonts w:hint="eastAsia" w:ascii="宋体" w:hAnsi="宋体"/>
                <w:szCs w:val="21"/>
                <w:highlight w:val="none"/>
                <w:lang w:val="en-US" w:eastAsia="zh-CN"/>
              </w:rPr>
              <w:t>外径千分尺</w:t>
            </w:r>
            <w:r>
              <w:rPr>
                <w:rFonts w:hint="eastAsia" w:ascii="宋体" w:hAnsi="宋体"/>
                <w:szCs w:val="21"/>
                <w:highlight w:val="none"/>
              </w:rPr>
              <w:t>等</w:t>
            </w:r>
            <w:r>
              <w:rPr>
                <w:rFonts w:hint="eastAsia" w:ascii="宋体" w:hAnsi="宋体"/>
                <w:spacing w:val="-1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highlight w:val="none"/>
              </w:rPr>
            </w:pPr>
            <w:r>
              <w:rPr>
                <w:rFonts w:hint="eastAsia" w:ascii="宋体" w:hAnsi="宋体"/>
                <w:color w:val="000000"/>
                <w:spacing w:val="-10"/>
                <w:sz w:val="20"/>
                <w:szCs w:val="20"/>
                <w:highlight w:val="none"/>
              </w:rPr>
              <w:t xml:space="preserve">检测设备是否满足要求     </w:t>
            </w:r>
            <w:r>
              <w:rPr>
                <w:rFonts w:hint="eastAsia" w:ascii="宋体" w:hAnsi="宋体"/>
                <w:color w:val="000000" w:themeColor="text1"/>
                <w:spacing w:val="-10"/>
                <w:sz w:val="20"/>
                <w:szCs w:val="20"/>
                <w:highlight w:val="none"/>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 □是□否□充分□需完善</w:t>
            </w:r>
          </w:p>
        </w:tc>
      </w:tr>
    </w:tbl>
    <w:p>
      <w:pPr>
        <w:spacing w:before="156" w:beforeLines="50" w:line="320" w:lineRule="exact"/>
        <w:ind w:left="260" w:leftChars="124"/>
        <w:rPr>
          <w:rFonts w:ascii="宋体"/>
          <w:b/>
          <w:color w:val="000000"/>
          <w:sz w:val="22"/>
          <w:szCs w:val="22"/>
        </w:rPr>
      </w:pPr>
    </w:p>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30</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szCs w:val="21"/>
              </w:rPr>
              <w:t>生产部、品质部</w:t>
            </w:r>
            <w:r>
              <w:rPr>
                <w:rFonts w:hint="eastAsia" w:ascii="宋体" w:hAnsi="宋体"/>
                <w:szCs w:val="21"/>
                <w:lang w:eastAsia="zh-CN"/>
              </w:rPr>
              <w:t>、</w:t>
            </w:r>
            <w:r>
              <w:rPr>
                <w:rFonts w:hint="eastAsia" w:ascii="宋体" w:hAnsi="宋体"/>
                <w:szCs w:val="21"/>
              </w:rPr>
              <w:t>供销部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lang w:eastAsia="zh-CN"/>
              </w:rPr>
              <w:t>2021年4月10日</w:t>
            </w:r>
            <w:r>
              <w:rPr>
                <w:rFonts w:hint="eastAsia"/>
                <w:szCs w:val="21"/>
              </w:rPr>
              <w:t>进行了内部审核。内部审核组组成：</w:t>
            </w:r>
            <w:r>
              <w:rPr>
                <w:rFonts w:hint="eastAsia" w:ascii="宋体" w:hAnsi="宋体"/>
                <w:kern w:val="0"/>
                <w:szCs w:val="21"/>
              </w:rPr>
              <w:t>组长：</w:t>
            </w:r>
            <w:r>
              <w:rPr>
                <w:rFonts w:hint="eastAsia"/>
                <w:szCs w:val="21"/>
              </w:rPr>
              <w:t>刘霞（管代、综合部）       组员： 范安彪（品质部）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审核范围:管理体系涉及的公司所有部门、生产车间及活动场所。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w:t>
            </w:r>
            <w:r>
              <w:rPr>
                <w:rFonts w:hint="eastAsia" w:ascii="宋体" w:hAnsi="宋体"/>
                <w:kern w:val="0"/>
                <w:szCs w:val="21"/>
                <w:lang w:val="en-US" w:eastAsia="zh-CN"/>
              </w:rPr>
              <w:t>21</w:t>
            </w:r>
            <w:r>
              <w:rPr>
                <w:rFonts w:hint="eastAsia" w:ascii="宋体" w:hAnsi="宋体"/>
                <w:kern w:val="0"/>
                <w:szCs w:val="21"/>
              </w:rPr>
              <w:t>年</w:t>
            </w:r>
            <w:r>
              <w:rPr>
                <w:rFonts w:hint="eastAsia" w:ascii="宋体" w:hAnsi="宋体"/>
                <w:kern w:val="0"/>
                <w:szCs w:val="21"/>
                <w:lang w:val="en-US" w:eastAsia="zh-CN"/>
              </w:rPr>
              <w:t>4</w:t>
            </w:r>
            <w:r>
              <w:rPr>
                <w:rFonts w:hint="eastAsia" w:ascii="宋体" w:hAnsi="宋体"/>
                <w:kern w:val="0"/>
                <w:szCs w:val="21"/>
              </w:rPr>
              <w:t>月20日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szCs w:val="21"/>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w:t>
      </w:r>
      <w:r>
        <w:rPr>
          <w:rFonts w:hint="eastAsia" w:ascii="宋体" w:hAnsi="宋体"/>
          <w:szCs w:val="21"/>
          <w:u w:val="single"/>
        </w:rPr>
        <w:t>汽车、摩托车金属覆盖件的加工</w:t>
      </w:r>
      <w:r>
        <w:rPr>
          <w:rFonts w:ascii="宋体" w:hAnsi="宋体"/>
          <w:b/>
          <w:color w:val="000000"/>
          <w:sz w:val="20"/>
          <w:szCs w:val="20"/>
          <w:u w:val="single"/>
        </w:rPr>
        <w:t>__</w:t>
      </w:r>
      <w:r>
        <w:rPr>
          <w:rFonts w:ascii="宋体" w:hAnsi="宋体"/>
          <w:b/>
          <w:color w:val="000000"/>
          <w:sz w:val="20"/>
          <w:szCs w:val="20"/>
        </w:rPr>
        <w:t>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1896110</wp:posOffset>
            </wp:positionH>
            <wp:positionV relativeFrom="paragraph">
              <wp:posOffset>80645</wp:posOffset>
            </wp:positionV>
            <wp:extent cx="544195" cy="412115"/>
            <wp:effectExtent l="0" t="0" r="1905" b="698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44195" cy="41211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2021年05月17日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受审核方：重庆安贵机械有限公司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highlight w:val="none"/>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pStyle w:val="2"/>
            </w:pPr>
            <w:r>
              <w:rPr>
                <w:rFonts w:hint="eastAsia"/>
                <w:b/>
                <w:sz w:val="22"/>
                <w:szCs w:val="22"/>
              </w:rPr>
              <w:drawing>
                <wp:anchor distT="0" distB="0" distL="114300" distR="114300" simplePos="0" relativeHeight="251663360" behindDoc="0" locked="0" layoutInCell="1" allowOverlap="1">
                  <wp:simplePos x="0" y="0"/>
                  <wp:positionH relativeFrom="column">
                    <wp:posOffset>638175</wp:posOffset>
                  </wp:positionH>
                  <wp:positionV relativeFrom="paragraph">
                    <wp:posOffset>50800</wp:posOffset>
                  </wp:positionV>
                  <wp:extent cx="422910" cy="320040"/>
                  <wp:effectExtent l="0" t="0" r="8890" b="1016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color w:val="000000"/>
                <w:szCs w:val="21"/>
              </w:rPr>
              <w:t>2021年05月17日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732790</wp:posOffset>
                  </wp:positionH>
                  <wp:positionV relativeFrom="paragraph">
                    <wp:posOffset>80010</wp:posOffset>
                  </wp:positionV>
                  <wp:extent cx="422910" cy="320040"/>
                  <wp:effectExtent l="0" t="0" r="8890" b="1016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33123A"/>
    <w:rsid w:val="36CD4C67"/>
    <w:rsid w:val="4EB51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2021-05-26T07:40:24Z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