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编  号：</w:t>
      </w:r>
      <w:bookmarkStart w:id="0" w:name="合同编号"/>
      <w:r>
        <w:rPr>
          <w:b/>
          <w:bCs/>
          <w:sz w:val="24"/>
          <w:szCs w:val="24"/>
        </w:rPr>
        <w:t>0470-2021-QEO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重庆沃富水务有限公司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w:t>
            </w:r>
          </w:p>
          <w:p>
            <w:pPr>
              <w:spacing w:line="240" w:lineRule="exact"/>
              <w:jc w:val="center"/>
              <w:rPr>
                <w:b/>
                <w:color w:val="000000" w:themeColor="text1"/>
                <w:sz w:val="20"/>
                <w:szCs w:val="20"/>
              </w:rPr>
            </w:pPr>
            <w:r>
              <w:rPr>
                <w:b/>
                <w:color w:val="000000" w:themeColor="text1"/>
                <w:sz w:val="20"/>
                <w:szCs w:val="20"/>
              </w:rPr>
              <w:t>E:29.10.07</w:t>
            </w:r>
          </w:p>
          <w:p>
            <w:pPr>
              <w:spacing w:line="240" w:lineRule="exact"/>
              <w:jc w:val="center"/>
              <w:rPr>
                <w:b/>
                <w:color w:val="000000" w:themeColor="text1"/>
                <w:sz w:val="20"/>
                <w:szCs w:val="20"/>
              </w:rPr>
            </w:pPr>
            <w:r>
              <w:rPr>
                <w:b/>
                <w:color w:val="000000" w:themeColor="text1"/>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w:t>
            </w:r>
          </w:p>
          <w:p>
            <w:pPr>
              <w:spacing w:line="240" w:lineRule="exact"/>
              <w:jc w:val="center"/>
              <w:rPr>
                <w:b/>
                <w:color w:val="000000" w:themeColor="text1"/>
                <w:sz w:val="20"/>
                <w:szCs w:val="20"/>
              </w:rPr>
            </w:pPr>
            <w:r>
              <w:rPr>
                <w:b/>
                <w:color w:val="000000" w:themeColor="text1"/>
                <w:sz w:val="20"/>
                <w:szCs w:val="20"/>
              </w:rPr>
              <w:t>E:29.10.07</w:t>
            </w:r>
          </w:p>
          <w:p>
            <w:pPr>
              <w:spacing w:line="240" w:lineRule="exact"/>
              <w:jc w:val="center"/>
              <w:rPr>
                <w:b/>
                <w:color w:val="000000" w:themeColor="text1"/>
                <w:sz w:val="20"/>
                <w:szCs w:val="20"/>
              </w:rPr>
            </w:pPr>
            <w:r>
              <w:rPr>
                <w:b/>
                <w:color w:val="000000" w:themeColor="text1"/>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重庆沃富水务有限公司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重庆市渝北区回兴街道金锦路42号2幢</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401120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重庆市渝北区金渝大道85号汉国中心A座7-3</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401122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石茂树</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18523465658</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段瑞朋</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段瑞朋</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赵永用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Q：无负压供水设备的销售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E：无负压供水设备的销售所涉及场所的相关环境管理活动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O：无负压供水设备的销售所涉及场所的相关职业健康安全管理活动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Q：29.10.07</w:t>
            </w:r>
          </w:p>
          <w:p>
            <w:pPr>
              <w:spacing w:line="320" w:lineRule="exact"/>
              <w:rPr>
                <w:rFonts w:ascii="宋体" w:hAnsi="宋体"/>
                <w:b/>
                <w:color w:val="000000" w:themeColor="text1"/>
                <w:sz w:val="20"/>
                <w:szCs w:val="20"/>
              </w:rPr>
            </w:pPr>
            <w:r>
              <w:rPr>
                <w:rFonts w:ascii="宋体" w:hAnsi="宋体"/>
                <w:b/>
                <w:color w:val="000000" w:themeColor="text1"/>
                <w:sz w:val="20"/>
                <w:szCs w:val="20"/>
              </w:rPr>
              <w:t>E：29.10.07</w:t>
            </w:r>
          </w:p>
          <w:p>
            <w:pPr>
              <w:spacing w:line="320" w:lineRule="exact"/>
              <w:rPr>
                <w:rFonts w:ascii="宋体" w:hAnsi="宋体"/>
                <w:b/>
                <w:color w:val="000000" w:themeColor="text1"/>
                <w:sz w:val="20"/>
                <w:szCs w:val="20"/>
              </w:rPr>
            </w:pPr>
            <w:r>
              <w:rPr>
                <w:rFonts w:ascii="宋体" w:hAnsi="宋体"/>
                <w:b/>
                <w:color w:val="000000" w:themeColor="text1"/>
                <w:sz w:val="20"/>
                <w:szCs w:val="20"/>
              </w:rPr>
              <w:t>O：29.10.07</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2021-02-01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市场部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left"/>
              <w:rPr>
                <w:color w:val="000000"/>
              </w:rPr>
            </w:pPr>
            <w:r>
              <w:rPr>
                <w:rFonts w:hint="eastAsia" w:ascii="宋体" w:hAnsi="宋体"/>
                <w:b/>
                <w:color w:val="000000" w:themeColor="text1"/>
                <w:spacing w:val="-2"/>
                <w:sz w:val="20"/>
                <w:szCs w:val="20"/>
              </w:rPr>
              <w:t>职能或过程:</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p>
        </w:tc>
        <w:tc>
          <w:tcPr>
            <w:tcW w:w="3249" w:type="dxa"/>
          </w:tcPr>
          <w:p>
            <w:pPr>
              <w:jc w:val="left"/>
              <w:rPr>
                <w:color w:val="000000"/>
              </w:rPr>
            </w:pPr>
          </w:p>
        </w:tc>
        <w:tc>
          <w:tcPr>
            <w:tcW w:w="3555"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color w:val="000000"/>
                <w:szCs w:val="21"/>
              </w:rPr>
            </w:pPr>
            <w:r>
              <w:rPr>
                <w:rFonts w:hint="eastAsia" w:ascii="宋体" w:hAnsi="宋体"/>
                <w:szCs w:val="21"/>
              </w:rPr>
              <w:t>无负压供水设备的销售</w:t>
            </w:r>
          </w:p>
          <w:p>
            <w:pPr>
              <w:rPr>
                <w:b/>
                <w:color w:val="000000" w:themeColor="text1"/>
                <w:sz w:val="20"/>
                <w:szCs w:val="20"/>
              </w:rPr>
            </w:pPr>
          </w:p>
        </w:tc>
        <w:tc>
          <w:tcPr>
            <w:tcW w:w="2519" w:type="dxa"/>
          </w:tcPr>
          <w:p>
            <w:pPr>
              <w:rPr>
                <w:b/>
                <w:color w:val="000000" w:themeColor="text1"/>
                <w:sz w:val="20"/>
                <w:szCs w:val="20"/>
              </w:rPr>
            </w:pPr>
            <w:r>
              <w:rPr>
                <w:rFonts w:hint="eastAsia"/>
                <w:b/>
                <w:sz w:val="20"/>
                <w:szCs w:val="20"/>
              </w:rPr>
              <w:t>服务</w:t>
            </w:r>
          </w:p>
        </w:tc>
        <w:tc>
          <w:tcPr>
            <w:tcW w:w="1843" w:type="dxa"/>
          </w:tcPr>
          <w:p>
            <w:pPr>
              <w:rPr>
                <w:b/>
                <w:color w:val="000000" w:themeColor="text1"/>
                <w:sz w:val="20"/>
                <w:szCs w:val="20"/>
              </w:rPr>
            </w:pPr>
          </w:p>
        </w:tc>
        <w:tc>
          <w:tcPr>
            <w:tcW w:w="3543" w:type="dxa"/>
          </w:tcPr>
          <w:p>
            <w:pPr>
              <w:pStyle w:val="3"/>
              <w:keepNext w:val="0"/>
              <w:keepLines w:val="0"/>
              <w:widowControl/>
              <w:shd w:val="clear" w:color="auto" w:fill="FFFFFF"/>
              <w:rPr>
                <w:color w:val="000000" w:themeColor="text1"/>
                <w:sz w:val="20"/>
                <w:szCs w:val="20"/>
              </w:rPr>
            </w:pPr>
            <w:r>
              <w:rPr>
                <w:rFonts w:hint="eastAsia" w:ascii="宋体" w:hAnsi="宋体" w:eastAsia="宋体" w:cs="Times New Roman"/>
                <w:b w:val="0"/>
                <w:kern w:val="2"/>
                <w:sz w:val="21"/>
                <w:szCs w:val="21"/>
                <w:highlight w:val="none"/>
                <w:lang w:val="en-US" w:eastAsia="zh-CN" w:bidi="ar-SA"/>
              </w:rPr>
              <w:t>稳压补偿式无负压供水设备CJ/T 303-2008</w:t>
            </w:r>
            <w:r>
              <w:rPr>
                <w:rFonts w:hint="eastAsia" w:ascii="宋体" w:hAnsi="宋体"/>
                <w:b w:val="0"/>
                <w:bCs w:val="0"/>
                <w:kern w:val="2"/>
                <w:sz w:val="21"/>
                <w:szCs w:val="21"/>
              </w:rPr>
              <w:t>、合同协议等。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体系运行开始的202</w:t>
      </w:r>
      <w:r>
        <w:rPr>
          <w:rFonts w:hint="eastAsia"/>
          <w:b/>
          <w:color w:val="000000" w:themeColor="text1"/>
          <w:spacing w:val="-10"/>
          <w:szCs w:val="21"/>
          <w:lang w:val="en-US" w:eastAsia="zh-CN"/>
        </w:rPr>
        <w:t>1</w:t>
      </w:r>
      <w:r>
        <w:rPr>
          <w:rFonts w:hint="eastAsia"/>
          <w:b/>
          <w:color w:val="000000" w:themeColor="text1"/>
          <w:spacing w:val="-10"/>
          <w:szCs w:val="21"/>
        </w:rPr>
        <w:t>年</w:t>
      </w:r>
      <w:r>
        <w:rPr>
          <w:rFonts w:hint="eastAsia"/>
          <w:b/>
          <w:color w:val="000000" w:themeColor="text1"/>
          <w:spacing w:val="-10"/>
          <w:szCs w:val="21"/>
          <w:lang w:val="en-US" w:eastAsia="zh-CN"/>
        </w:rPr>
        <w:t>2</w:t>
      </w:r>
      <w:r>
        <w:rPr>
          <w:rFonts w:hint="eastAsia"/>
          <w:b/>
          <w:color w:val="000000" w:themeColor="text1"/>
          <w:spacing w:val="-10"/>
          <w:szCs w:val="21"/>
        </w:rPr>
        <w:t>月1日至202</w:t>
      </w:r>
      <w:r>
        <w:rPr>
          <w:rFonts w:hint="eastAsia"/>
          <w:b/>
          <w:color w:val="000000" w:themeColor="text1"/>
          <w:spacing w:val="-10"/>
          <w:szCs w:val="21"/>
          <w:lang w:val="en-US" w:eastAsia="zh-CN"/>
        </w:rPr>
        <w:t>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spacing w:line="0" w:lineRule="atLeast"/>
              <w:ind w:firstLine="420" w:firstLineChars="200"/>
              <w:jc w:val="left"/>
              <w:rPr>
                <w:rFonts w:hint="eastAsia"/>
                <w:szCs w:val="21"/>
              </w:rPr>
            </w:pPr>
            <w:r>
              <w:rPr>
                <w:rFonts w:hint="eastAsia"/>
                <w:szCs w:val="21"/>
                <w:lang w:eastAsia="zh-CN"/>
              </w:rPr>
              <w:t>重庆沃富水务有限公司位于重庆市两江新区台商工业园区，是专业从事给排水设备销售、安装、</w:t>
            </w:r>
            <w:r>
              <w:rPr>
                <w:rFonts w:hint="eastAsia"/>
                <w:szCs w:val="21"/>
                <w:lang w:val="en-US" w:eastAsia="zh-CN"/>
              </w:rPr>
              <w:t>维护</w:t>
            </w:r>
            <w:r>
              <w:rPr>
                <w:rFonts w:hint="eastAsia"/>
                <w:szCs w:val="21"/>
                <w:lang w:eastAsia="zh-CN"/>
              </w:rPr>
              <w:t>于一体的大型专业化企业。公司采用现代化企业管理模式。公司主要致力于二次供水的整体系统解决方案，填补了市场空白。</w:t>
            </w:r>
            <w:r>
              <w:rPr>
                <w:rFonts w:hint="eastAsia"/>
                <w:szCs w:val="21"/>
              </w:rPr>
              <w:t>现有员工</w:t>
            </w:r>
            <w:r>
              <w:rPr>
                <w:rFonts w:hint="eastAsia"/>
                <w:szCs w:val="21"/>
                <w:lang w:val="en-US" w:eastAsia="zh-CN"/>
              </w:rPr>
              <w:t>18</w:t>
            </w:r>
            <w:r>
              <w:rPr>
                <w:rFonts w:hint="eastAsia"/>
                <w:szCs w:val="21"/>
              </w:rPr>
              <w:t>人，目前经营情况良好。</w:t>
            </w:r>
          </w:p>
          <w:p>
            <w:pPr>
              <w:spacing w:line="0" w:lineRule="atLeast"/>
              <w:ind w:firstLine="420" w:firstLineChars="200"/>
              <w:jc w:val="left"/>
              <w:rPr>
                <w:rFonts w:ascii="宋体" w:hAnsi="宋体"/>
                <w:b/>
                <w:szCs w:val="21"/>
              </w:rPr>
            </w:pPr>
            <w:r>
              <w:rPr>
                <w:rFonts w:hint="eastAsia" w:ascii="宋体" w:hAnsi="宋体"/>
                <w:szCs w:val="21"/>
              </w:rPr>
              <w:t>组织对内外部因素、相关方需求和期望进行了充分的识别，确定了体系的边界，基本适用。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ind w:firstLine="420" w:firstLineChars="200"/>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服务质量符合要求、服务及时、价格合理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360" w:lineRule="auto"/>
              <w:ind w:firstLine="210" w:firstLineChars="100"/>
              <w:rPr>
                <w:rFonts w:ascii="宋体" w:hAnsi="宋体" w:eastAsia="宋体" w:cs="宋体"/>
                <w:color w:val="000000" w:themeColor="text1"/>
                <w:highlight w:val="none"/>
                <w:lang w:eastAsia="zh-CN"/>
              </w:rPr>
            </w:pPr>
            <w:r>
              <w:rPr>
                <w:rFonts w:hint="eastAsia" w:asciiTheme="minorEastAsia" w:hAnsiTheme="minorEastAsia" w:eastAsiaTheme="minorEastAsia" w:cstheme="minorEastAsia"/>
                <w:sz w:val="21"/>
                <w:szCs w:val="21"/>
                <w:lang w:eastAsia="zh-CN"/>
              </w:rPr>
              <w:t>“</w:t>
            </w:r>
            <w:r>
              <w:rPr>
                <w:rFonts w:hint="eastAsia" w:ascii="宋体" w:hAnsi="宋体" w:eastAsia="宋体" w:cs="宋体"/>
                <w:color w:val="000000" w:themeColor="text1"/>
                <w:highlight w:val="none"/>
                <w:lang w:eastAsia="zh-CN"/>
              </w:rPr>
              <w:t>保证质量  及时配送  以客为尊，顾客满意</w:t>
            </w:r>
            <w:r>
              <w:rPr>
                <w:rFonts w:hint="eastAsia" w:ascii="宋体" w:hAnsi="宋体" w:eastAsia="宋体" w:cs="宋体"/>
                <w:color w:val="000000" w:themeColor="text1"/>
                <w:highlight w:val="none"/>
                <w:lang w:val="en-US" w:eastAsia="zh-CN"/>
              </w:rPr>
              <w:t xml:space="preserve"> </w:t>
            </w:r>
            <w:r>
              <w:rPr>
                <w:rFonts w:hint="eastAsia" w:ascii="宋体" w:hAnsi="宋体" w:eastAsia="宋体" w:cs="宋体"/>
                <w:color w:val="000000" w:themeColor="text1"/>
                <w:highlight w:val="none"/>
                <w:lang w:eastAsia="zh-CN"/>
              </w:rPr>
              <w:t>节能降耗，保护环境，以人为本，安全第一</w:t>
            </w:r>
          </w:p>
          <w:p>
            <w:pPr>
              <w:spacing w:line="360" w:lineRule="auto"/>
              <w:rPr>
                <w:rFonts w:ascii="宋体" w:hAnsi="宋体"/>
                <w:b/>
                <w:szCs w:val="21"/>
              </w:rPr>
            </w:pPr>
            <w:r>
              <w:rPr>
                <w:rFonts w:hint="eastAsia" w:ascii="宋体" w:hAnsi="宋体" w:eastAsia="宋体" w:cs="宋体"/>
                <w:color w:val="000000" w:themeColor="text1"/>
                <w:highlight w:val="none"/>
                <w:lang w:eastAsia="zh-CN"/>
              </w:rPr>
              <w:t>预防为主，综合治理，规范管理，持续改进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合同评审、销售管理过程。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其中关键过程有：销售过程。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需要确认过程：销售</w:t>
            </w:r>
          </w:p>
          <w:p>
            <w:pPr>
              <w:tabs>
                <w:tab w:val="left" w:pos="1080"/>
              </w:tabs>
              <w:spacing w:line="400" w:lineRule="exact"/>
              <w:rPr>
                <w:rFonts w:ascii="宋体" w:hAnsi="宋体"/>
                <w:color w:val="000000" w:themeColor="text1"/>
              </w:rPr>
            </w:pPr>
            <w:r>
              <w:rPr>
                <w:rFonts w:hint="eastAsia" w:ascii="宋体" w:hAnsi="宋体"/>
                <w:b/>
                <w:szCs w:val="21"/>
              </w:rPr>
              <w:t>删减条款是，</w:t>
            </w:r>
            <w:r>
              <w:rPr>
                <w:rFonts w:hint="eastAsia" w:ascii="宋体" w:hAnsi="宋体"/>
                <w:b/>
                <w:szCs w:val="21"/>
                <w:u w:val="single"/>
              </w:rPr>
              <w:t xml:space="preserve">8.3 </w:t>
            </w:r>
            <w:r>
              <w:rPr>
                <w:rFonts w:hint="eastAsia" w:ascii="宋体" w:hAnsi="宋体"/>
                <w:b/>
                <w:szCs w:val="21"/>
              </w:rPr>
              <w:t xml:space="preserve">  删减理由：</w:t>
            </w:r>
            <w:r>
              <w:rPr>
                <w:rFonts w:hint="eastAsia" w:ascii="宋体" w:hAnsi="宋体" w:eastAsia="宋体" w:cs="宋体"/>
                <w:color w:val="000000" w:themeColor="text1"/>
                <w:highlight w:val="none"/>
                <w:u w:val="single"/>
                <w:lang w:eastAsia="zh-CN"/>
              </w:rPr>
              <w:t>本公司按照顾客的购买要求出售商品，不需要进一步细化顾客的要求，整个销售过程不涉及设计开发。故</w:t>
            </w:r>
            <w:r>
              <w:rPr>
                <w:rFonts w:ascii="宋体" w:hAnsi="宋体" w:eastAsia="宋体" w:cs="宋体"/>
                <w:color w:val="000000" w:themeColor="text1"/>
                <w:highlight w:val="none"/>
                <w:u w:val="single"/>
                <w:lang w:eastAsia="zh-CN"/>
              </w:rPr>
              <w:t>GB/T19001-2016</w:t>
            </w:r>
            <w:r>
              <w:rPr>
                <w:rFonts w:hint="eastAsia" w:ascii="宋体" w:hAnsi="宋体" w:eastAsia="宋体" w:cs="宋体"/>
                <w:color w:val="000000" w:themeColor="text1"/>
                <w:highlight w:val="none"/>
                <w:u w:val="single"/>
                <w:lang w:eastAsia="zh-CN"/>
              </w:rPr>
              <w:t>标准</w:t>
            </w:r>
            <w:r>
              <w:rPr>
                <w:rFonts w:ascii="宋体" w:hAnsi="宋体" w:eastAsia="宋体" w:cs="宋体"/>
                <w:color w:val="000000" w:themeColor="text1"/>
                <w:highlight w:val="none"/>
                <w:u w:val="single"/>
                <w:lang w:eastAsia="zh-CN"/>
              </w:rPr>
              <w:t>8.3</w:t>
            </w:r>
            <w:r>
              <w:rPr>
                <w:rFonts w:hint="eastAsia" w:ascii="宋体" w:hAnsi="宋体" w:eastAsia="宋体" w:cs="宋体"/>
                <w:color w:val="000000" w:themeColor="text1"/>
                <w:highlight w:val="none"/>
                <w:u w:val="single"/>
                <w:lang w:eastAsia="zh-CN"/>
              </w:rPr>
              <w:t>条款不适用，对于该条款的不适用不影响组织向顾客提供合格产品及满足相关法律法规要求的能力和责任。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w:t>
            </w:r>
            <w:r>
              <w:rPr>
                <w:rFonts w:ascii="宋体" w:hAnsi="宋体"/>
                <w:b/>
                <w:szCs w:val="21"/>
              </w:rPr>
              <w:t>EMS</w:t>
            </w:r>
            <w:r>
              <w:rPr>
                <w:rFonts w:hint="eastAsia" w:ascii="宋体" w:hAnsi="宋体"/>
                <w:b/>
                <w:szCs w:val="21"/>
              </w:rPr>
              <w:t>环境因素</w:t>
            </w:r>
          </w:p>
          <w:p>
            <w:pPr>
              <w:spacing w:line="300" w:lineRule="exact"/>
              <w:rPr>
                <w:rFonts w:ascii="宋体" w:hAnsi="宋体"/>
                <w:b/>
                <w:szCs w:val="21"/>
              </w:rPr>
            </w:pPr>
            <w:r>
              <w:rPr>
                <w:rFonts w:hint="eastAsia" w:ascii="宋体" w:hAnsi="宋体"/>
                <w:b/>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szCs w:val="21"/>
              </w:rPr>
            </w:pPr>
            <w:r>
              <w:rPr>
                <w:rFonts w:hint="eastAsia" w:ascii="宋体" w:hAnsi="宋体" w:cs="宋体"/>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hint="eastAsia" w:ascii="宋体" w:hAnsi="宋体" w:cs="宋体"/>
                <w:szCs w:val="21"/>
              </w:rPr>
              <w:t>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7. </w:t>
            </w:r>
            <w:r>
              <w:rPr>
                <w:rFonts w:hint="eastAsia" w:ascii="宋体" w:hAnsi="宋体"/>
                <w:b/>
                <w:szCs w:val="21"/>
              </w:rPr>
              <w:t>■</w:t>
            </w:r>
            <w:r>
              <w:rPr>
                <w:rFonts w:ascii="宋体" w:hAnsi="宋体"/>
                <w:b/>
                <w:szCs w:val="21"/>
              </w:rPr>
              <w:t>OHSMS</w:t>
            </w:r>
            <w:r>
              <w:rPr>
                <w:rFonts w:hint="eastAsia" w:ascii="宋体" w:hAnsi="宋体"/>
                <w:b/>
                <w:szCs w:val="21"/>
              </w:rPr>
              <w:t>职业健康安全危险源</w:t>
            </w:r>
          </w:p>
          <w:p>
            <w:pPr>
              <w:spacing w:line="240" w:lineRule="exact"/>
              <w:rPr>
                <w:rFonts w:ascii="宋体" w:hAnsi="宋体"/>
                <w:b/>
                <w:szCs w:val="21"/>
              </w:rPr>
            </w:pPr>
            <w:r>
              <w:rPr>
                <w:rFonts w:hint="eastAsia" w:ascii="宋体" w:hAnsi="宋体"/>
                <w:b/>
                <w:szCs w:val="21"/>
              </w:rPr>
              <w:t>（职业健康安全危险源辨识是否充分、风险评价合理性，以及风险评价动态变更的及时性等）</w:t>
            </w:r>
          </w:p>
          <w:p>
            <w:pPr>
              <w:spacing w:line="240" w:lineRule="exact"/>
              <w:ind w:firstLine="210" w:firstLineChars="100"/>
              <w:rPr>
                <w:rFonts w:ascii="宋体" w:hAnsi="宋体"/>
                <w:b/>
                <w:szCs w:val="21"/>
              </w:rPr>
            </w:pPr>
            <w:r>
              <w:rPr>
                <w:rFonts w:hint="eastAsia" w:ascii="宋体" w:hAnsi="宋体" w:cs="宋体"/>
                <w:szCs w:val="21"/>
              </w:rPr>
              <w:t>组织建立了危险源识别、评价控制程序，识别评价了危险源、风险相关的过程，评价出了</w:t>
            </w:r>
            <w:r>
              <w:rPr>
                <w:rFonts w:hint="eastAsia" w:ascii="宋体" w:hAnsi="宋体"/>
                <w:szCs w:val="21"/>
              </w:rPr>
              <w:t>火灾、触电、</w:t>
            </w:r>
            <w:r>
              <w:rPr>
                <w:rFonts w:hint="eastAsia" w:ascii="宋体" w:hAnsi="宋体"/>
                <w:szCs w:val="21"/>
                <w:lang w:eastAsia="zh-CN"/>
              </w:rPr>
              <w:t>（</w:t>
            </w:r>
            <w:r>
              <w:rPr>
                <w:rFonts w:hint="eastAsia" w:ascii="宋体" w:hAnsi="宋体"/>
                <w:szCs w:val="21"/>
                <w:lang w:val="en-US" w:eastAsia="zh-CN"/>
              </w:rPr>
              <w:t>交通）</w:t>
            </w:r>
            <w:r>
              <w:rPr>
                <w:rFonts w:hint="eastAsia" w:ascii="宋体" w:hAnsi="宋体"/>
                <w:szCs w:val="21"/>
              </w:rPr>
              <w:t>意外伤害</w:t>
            </w:r>
            <w:r>
              <w:rPr>
                <w:rFonts w:hint="eastAsia" w:ascii="宋体" w:hAnsi="宋体" w:cs="宋体"/>
                <w:szCs w:val="21"/>
              </w:rPr>
              <w:t>等重要危险源，与之相关的过程有客户需求评审、采购、销售、售后服务等，针对重要危险源制定了管理方案。控制措施实施有效。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2"/>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质量、环境、职业健康安全目标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考核情况：（202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月）</w:t>
            </w:r>
          </w:p>
          <w:p>
            <w:pPr>
              <w:spacing w:line="360" w:lineRule="auto"/>
              <w:ind w:left="210" w:leftChars="100"/>
              <w:rPr>
                <w:rFonts w:hint="default"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1、</w:t>
            </w:r>
            <w:r>
              <w:rPr>
                <w:rFonts w:hint="eastAsia" w:ascii="宋体" w:hAnsi="宋体" w:eastAsia="宋体" w:cs="宋体"/>
                <w:color w:val="000000" w:themeColor="text1"/>
                <w:highlight w:val="none"/>
                <w:lang w:eastAsia="zh-CN"/>
              </w:rPr>
              <w:t>产品交验合格率≥</w:t>
            </w:r>
            <w:r>
              <w:rPr>
                <w:rFonts w:ascii="宋体" w:hAnsi="宋体" w:eastAsia="宋体" w:cs="宋体"/>
                <w:color w:val="000000" w:themeColor="text1"/>
                <w:highlight w:val="none"/>
                <w:lang w:eastAsia="zh-CN"/>
              </w:rPr>
              <w:t>9</w:t>
            </w:r>
            <w:r>
              <w:rPr>
                <w:rFonts w:hint="eastAsia" w:ascii="宋体" w:hAnsi="宋体" w:eastAsia="宋体" w:cs="宋体"/>
                <w:color w:val="000000" w:themeColor="text1"/>
                <w:highlight w:val="none"/>
                <w:lang w:eastAsia="zh-CN"/>
              </w:rPr>
              <w:t>8</w:t>
            </w:r>
            <w:r>
              <w:rPr>
                <w:rFonts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         实测：100%</w:t>
            </w:r>
          </w:p>
          <w:p>
            <w:pPr>
              <w:spacing w:line="360" w:lineRule="auto"/>
              <w:ind w:left="210" w:leftChars="100"/>
              <w:rPr>
                <w:rFonts w:hint="default"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2、</w:t>
            </w:r>
            <w:r>
              <w:rPr>
                <w:rFonts w:hint="eastAsia" w:ascii="宋体" w:hAnsi="宋体" w:eastAsia="宋体" w:cs="宋体"/>
                <w:color w:val="000000" w:themeColor="text1"/>
                <w:highlight w:val="none"/>
                <w:lang w:eastAsia="zh-CN"/>
              </w:rPr>
              <w:t>顾客满意度≥</w:t>
            </w:r>
            <w:r>
              <w:rPr>
                <w:rFonts w:ascii="宋体" w:hAnsi="宋体" w:eastAsia="宋体" w:cs="宋体"/>
                <w:color w:val="000000" w:themeColor="text1"/>
                <w:highlight w:val="none"/>
                <w:lang w:eastAsia="zh-CN"/>
              </w:rPr>
              <w:t>9</w:t>
            </w:r>
            <w:r>
              <w:rPr>
                <w:rFonts w:hint="eastAsia" w:ascii="宋体" w:hAnsi="宋体" w:cs="宋体"/>
                <w:color w:val="000000" w:themeColor="text1"/>
                <w:highlight w:val="none"/>
                <w:lang w:val="en-US" w:eastAsia="zh-CN"/>
              </w:rPr>
              <w:t>0</w:t>
            </w:r>
            <w:r>
              <w:rPr>
                <w:rFonts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             实测：9</w:t>
            </w:r>
            <w:r>
              <w:rPr>
                <w:rFonts w:hint="eastAsia" w:ascii="宋体" w:hAnsi="宋体" w:cs="宋体"/>
                <w:color w:val="000000" w:themeColor="text1"/>
                <w:highlight w:val="none"/>
                <w:lang w:val="en-US" w:eastAsia="zh-CN"/>
              </w:rPr>
              <w:t>1</w:t>
            </w:r>
            <w:r>
              <w:rPr>
                <w:rFonts w:hint="eastAsia" w:ascii="宋体" w:hAnsi="宋体" w:eastAsia="宋体" w:cs="宋体"/>
                <w:color w:val="000000" w:themeColor="text1"/>
                <w:highlight w:val="none"/>
                <w:lang w:val="en-US" w:eastAsia="zh-CN"/>
              </w:rPr>
              <w:t>%</w:t>
            </w:r>
          </w:p>
          <w:p>
            <w:pPr>
              <w:spacing w:line="360" w:lineRule="auto"/>
              <w:ind w:left="210" w:leftChars="100"/>
              <w:rPr>
                <w:rFonts w:hint="default"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lang w:eastAsia="zh-CN"/>
              </w:rPr>
              <w:t>客户投诉处理率</w:t>
            </w:r>
            <w:r>
              <w:rPr>
                <w:rFonts w:ascii="宋体" w:hAnsi="宋体" w:eastAsia="宋体" w:cs="宋体"/>
                <w:color w:val="000000" w:themeColor="text1"/>
                <w:highlight w:val="none"/>
                <w:lang w:eastAsia="zh-CN"/>
              </w:rPr>
              <w:t>100%</w:t>
            </w:r>
            <w:r>
              <w:rPr>
                <w:rFonts w:hint="eastAsia" w:ascii="宋体" w:hAnsi="宋体" w:eastAsia="宋体" w:cs="宋体"/>
                <w:color w:val="000000" w:themeColor="text1"/>
                <w:highlight w:val="none"/>
                <w:lang w:val="en-US" w:eastAsia="zh-CN"/>
              </w:rPr>
              <w:t>；          实测：100%</w:t>
            </w:r>
          </w:p>
          <w:p>
            <w:pPr>
              <w:spacing w:line="360" w:lineRule="auto"/>
              <w:ind w:left="210" w:leftChars="100"/>
              <w:rPr>
                <w:rFonts w:hint="default"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4、</w:t>
            </w:r>
            <w:r>
              <w:rPr>
                <w:rFonts w:hint="eastAsia" w:ascii="宋体" w:hAnsi="宋体" w:eastAsia="宋体" w:cs="宋体"/>
                <w:color w:val="000000" w:themeColor="text1"/>
                <w:highlight w:val="none"/>
                <w:lang w:eastAsia="zh-CN"/>
              </w:rPr>
              <w:t>固体分类收集</w:t>
            </w:r>
            <w:r>
              <w:rPr>
                <w:rFonts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eastAsia="zh-CN"/>
              </w:rPr>
              <w:t>集中处理</w:t>
            </w:r>
            <w:r>
              <w:rPr>
                <w:rFonts w:ascii="宋体" w:hAnsi="宋体" w:eastAsia="宋体" w:cs="宋体"/>
                <w:color w:val="000000" w:themeColor="text1"/>
                <w:highlight w:val="none"/>
                <w:lang w:eastAsia="zh-CN"/>
              </w:rPr>
              <w:t>100%</w:t>
            </w:r>
            <w:r>
              <w:rPr>
                <w:rFonts w:hint="eastAsia" w:ascii="宋体" w:hAnsi="宋体" w:eastAsia="宋体" w:cs="宋体"/>
                <w:color w:val="000000" w:themeColor="text1"/>
                <w:highlight w:val="none"/>
                <w:lang w:val="en-US" w:eastAsia="zh-CN"/>
              </w:rPr>
              <w:t>；   实测：100%</w:t>
            </w:r>
          </w:p>
          <w:p>
            <w:pPr>
              <w:spacing w:line="360" w:lineRule="auto"/>
              <w:ind w:left="210" w:leftChars="100"/>
              <w:rPr>
                <w:rFonts w:hint="default"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5、</w:t>
            </w:r>
            <w:r>
              <w:rPr>
                <w:rFonts w:hint="eastAsia" w:ascii="宋体" w:hAnsi="宋体" w:eastAsia="宋体" w:cs="宋体"/>
                <w:color w:val="000000" w:themeColor="text1"/>
                <w:highlight w:val="none"/>
                <w:lang w:eastAsia="zh-CN"/>
              </w:rPr>
              <w:t>重大伤亡事故为零</w:t>
            </w:r>
            <w:r>
              <w:rPr>
                <w:rFonts w:hint="eastAsia" w:ascii="宋体" w:hAnsi="宋体" w:eastAsia="宋体" w:cs="宋体"/>
                <w:color w:val="000000" w:themeColor="text1"/>
                <w:highlight w:val="none"/>
                <w:lang w:val="en-US" w:eastAsia="zh-CN"/>
              </w:rPr>
              <w:t>；             实测：未发生重大伤亡事故</w:t>
            </w:r>
          </w:p>
          <w:p>
            <w:pPr>
              <w:spacing w:line="360" w:lineRule="auto"/>
              <w:ind w:left="210" w:leftChars="100"/>
              <w:rPr>
                <w:rFonts w:hint="default" w:ascii="宋体" w:hAnsi="宋体"/>
                <w:b/>
                <w:szCs w:val="21"/>
                <w:lang w:val="en-US"/>
              </w:rPr>
            </w:pPr>
            <w:r>
              <w:rPr>
                <w:rFonts w:hint="eastAsia" w:ascii="宋体" w:hAnsi="宋体" w:eastAsia="宋体" w:cs="宋体"/>
                <w:color w:val="000000" w:themeColor="text1"/>
                <w:highlight w:val="none"/>
                <w:lang w:val="en-US" w:eastAsia="zh-CN"/>
              </w:rPr>
              <w:t>6、</w:t>
            </w:r>
            <w:r>
              <w:rPr>
                <w:rFonts w:hint="eastAsia" w:ascii="宋体" w:hAnsi="宋体" w:eastAsia="宋体" w:cs="宋体"/>
                <w:color w:val="000000" w:themeColor="text1"/>
                <w:highlight w:val="none"/>
                <w:lang w:eastAsia="zh-CN"/>
              </w:rPr>
              <w:t>火灾事故为零</w:t>
            </w:r>
            <w:r>
              <w:rPr>
                <w:rFonts w:hint="eastAsia" w:ascii="宋体" w:hAnsi="宋体"/>
                <w:color w:val="000000"/>
                <w:sz w:val="21"/>
                <w:szCs w:val="21"/>
                <w:lang w:eastAsia="zh-CN"/>
              </w:rPr>
              <w:t>。</w:t>
            </w:r>
            <w:r>
              <w:rPr>
                <w:rFonts w:hint="eastAsia" w:ascii="宋体" w:hAnsi="宋体"/>
                <w:color w:val="000000"/>
                <w:sz w:val="21"/>
                <w:szCs w:val="21"/>
                <w:lang w:val="en-US" w:eastAsia="zh-CN"/>
              </w:rPr>
              <w:t xml:space="preserve">                 </w:t>
            </w:r>
            <w:r>
              <w:rPr>
                <w:rFonts w:hint="eastAsia" w:ascii="宋体" w:hAnsi="宋体" w:eastAsia="宋体" w:cs="宋体"/>
                <w:color w:val="000000" w:themeColor="text1"/>
                <w:highlight w:val="none"/>
                <w:lang w:val="en-US" w:eastAsia="zh-CN"/>
              </w:rPr>
              <w:t>实测：未发生火灾事故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rPr>
                <w:rFonts w:ascii="宋体" w:hAnsi="宋体"/>
                <w:b/>
                <w:szCs w:val="21"/>
              </w:rPr>
            </w:pPr>
            <w:r>
              <w:rPr>
                <w:rFonts w:hint="eastAsia" w:ascii="宋体" w:hAnsi="宋体"/>
                <w:szCs w:val="21"/>
              </w:rPr>
              <w:t>办公面积</w:t>
            </w:r>
            <w:r>
              <w:rPr>
                <w:rFonts w:hint="eastAsia" w:ascii="宋体" w:hAnsi="宋体"/>
                <w:szCs w:val="21"/>
                <w:lang w:val="en-US" w:eastAsia="zh-CN"/>
              </w:rPr>
              <w:t>260</w:t>
            </w:r>
            <w:r>
              <w:rPr>
                <w:rFonts w:hint="eastAsia" w:ascii="宋体" w:hAnsi="宋体"/>
                <w:szCs w:val="21"/>
              </w:rPr>
              <w:t>平方左右</w:t>
            </w:r>
            <w:r>
              <w:rPr>
                <w:rFonts w:hint="eastAsia" w:ascii="宋体" w:hAnsi="宋体"/>
                <w:szCs w:val="21"/>
                <w:highlight w:val="none"/>
              </w:rPr>
              <w:t>，公司采取开票销售的方式进行，销售商品由供应商直接交付到顾客，未设置库房等周转环节。</w:t>
            </w:r>
            <w:r>
              <w:rPr>
                <w:rFonts w:hint="eastAsia" w:ascii="宋体" w:hAnsi="宋体" w:cs="宋体"/>
                <w:szCs w:val="21"/>
                <w:highlight w:val="none"/>
              </w:rPr>
              <w:t>主要生产设备</w:t>
            </w:r>
            <w:r>
              <w:rPr>
                <w:rFonts w:hint="eastAsia"/>
                <w:szCs w:val="21"/>
                <w:highlight w:val="none"/>
              </w:rPr>
              <w:t>电脑及办公设备</w:t>
            </w:r>
            <w:r>
              <w:rPr>
                <w:rStyle w:val="18"/>
                <w:rFonts w:hint="eastAsia" w:ascii="宋体" w:hAnsi="宋体"/>
                <w:color w:val="auto"/>
                <w:szCs w:val="21"/>
                <w:highlight w:val="none"/>
              </w:rPr>
              <w:t>等</w:t>
            </w:r>
            <w:r>
              <w:rPr>
                <w:rFonts w:hint="eastAsia" w:ascii="宋体" w:hAnsi="宋体" w:cs="宋体"/>
                <w:szCs w:val="21"/>
                <w:highlight w:val="none"/>
              </w:rPr>
              <w:t>，可以满足</w:t>
            </w:r>
            <w:r>
              <w:rPr>
                <w:rFonts w:hint="eastAsia" w:ascii="宋体" w:hAnsi="宋体"/>
                <w:szCs w:val="21"/>
                <w:highlight w:val="none"/>
              </w:rPr>
              <w:t>无负压供水设备的销售的需要</w:t>
            </w:r>
            <w:r>
              <w:rPr>
                <w:rFonts w:hint="eastAsia" w:ascii="宋体" w:hAnsi="宋体" w:cs="宋体"/>
                <w:szCs w:val="21"/>
                <w:highlight w:val="none"/>
              </w:rPr>
              <w:t>。特种设备：</w:t>
            </w:r>
            <w:r>
              <w:rPr>
                <w:rFonts w:hint="eastAsia"/>
                <w:szCs w:val="21"/>
                <w:highlight w:val="none"/>
              </w:rPr>
              <w:t>无</w:t>
            </w:r>
            <w:r>
              <w:rPr>
                <w:rFonts w:hint="eastAsia" w:ascii="宋体" w:hAnsi="宋体"/>
                <w:szCs w:val="21"/>
                <w:highlight w:val="none"/>
              </w:rPr>
              <w:t>。</w:t>
            </w:r>
            <w:r>
              <w:rPr>
                <w:rFonts w:hint="eastAsia" w:ascii="宋体" w:hAnsi="宋体" w:cs="宋体"/>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b/>
                <w:szCs w:val="21"/>
              </w:rPr>
            </w:pPr>
            <w:r>
              <w:rPr>
                <w:rFonts w:hint="eastAsia" w:ascii="宋体" w:hAnsi="宋体"/>
                <w:szCs w:val="21"/>
              </w:rPr>
              <w:t>办公区域内设备布置合理，照明设施齐全，均配备了灭火器、消防栓等设施。目前公司从事服务及工作性质</w:t>
            </w:r>
            <w:r>
              <w:rPr>
                <w:rFonts w:hint="eastAsia" w:ascii="宋体" w:hAnsi="宋体"/>
                <w:szCs w:val="21"/>
                <w:lang w:val="de-DE"/>
              </w:rPr>
              <w:t>的对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b/>
                <w:szCs w:val="21"/>
              </w:rPr>
            </w:pPr>
            <w:r>
              <w:rPr>
                <w:rFonts w:hint="eastAsia"/>
                <w:szCs w:val="21"/>
              </w:rPr>
              <w:t>无，采取以供方出具的产品检测报告为验收依据，进行核验，最终产品质量由顾客确认，暂未配置检测设备</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环保设施：</w:t>
            </w:r>
            <w:r>
              <w:rPr>
                <w:rFonts w:hint="eastAsia" w:ascii="宋体" w:hAnsi="宋体"/>
                <w:b/>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职业健康安全设施：</w:t>
            </w:r>
            <w:r>
              <w:rPr>
                <w:rFonts w:hint="eastAsia" w:ascii="宋体" w:hAnsi="宋体"/>
                <w:b/>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ascii="宋体" w:hAnsi="宋体"/>
                <w:b/>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特殊过程为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服务质量实施检查与验收的管理要求。内容基本具备全面性、系统性及可操作性。质量检查与验收交付客户时予以实现，范围包括：过程、最终产品。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rPr>
                <w:rFonts w:hint="eastAsia"/>
                <w:b/>
                <w:color w:val="000000" w:themeColor="text1"/>
                <w:sz w:val="20"/>
                <w:szCs w:val="20"/>
                <w:lang w:eastAsia="zh-CN"/>
              </w:rPr>
            </w:pPr>
            <w:r>
              <w:rPr>
                <w:rFonts w:hint="eastAsia"/>
                <w:b/>
                <w:color w:val="000000" w:themeColor="text1"/>
                <w:sz w:val="20"/>
                <w:szCs w:val="20"/>
              </w:rPr>
              <w:t>无国家/地方技术监督部门质量监督抽查</w:t>
            </w:r>
            <w:r>
              <w:rPr>
                <w:rFonts w:hint="eastAsia"/>
                <w:b/>
                <w:color w:val="000000" w:themeColor="text1"/>
                <w:sz w:val="20"/>
                <w:szCs w:val="20"/>
                <w:lang w:eastAsia="zh-CN"/>
              </w:rPr>
              <w:t>。</w:t>
            </w:r>
          </w:p>
          <w:p>
            <w:pPr>
              <w:spacing w:line="300" w:lineRule="exact"/>
              <w:jc w:val="left"/>
              <w:rPr>
                <w:rFonts w:hint="eastAsia" w:ascii="宋体" w:hAnsi="宋体" w:eastAsia="宋体"/>
                <w:b/>
                <w:szCs w:val="21"/>
                <w:lang w:val="en-US" w:eastAsia="zh-CN"/>
              </w:rPr>
            </w:pPr>
            <w:r>
              <w:rPr>
                <w:rFonts w:hint="eastAsia"/>
                <w:b/>
                <w:color w:val="000000" w:themeColor="text1"/>
                <w:sz w:val="20"/>
                <w:szCs w:val="20"/>
              </w:rPr>
              <w:t>（附相关证据）：</w:t>
            </w: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b/>
                <w:szCs w:val="21"/>
              </w:rPr>
            </w:pPr>
            <w:r>
              <w:rPr>
                <w:rFonts w:hint="eastAsia" w:asciiTheme="minorEastAsia" w:hAnsiTheme="minorEastAsia" w:eastAsiaTheme="minorEastAsia"/>
                <w:bCs/>
                <w:iCs/>
                <w:szCs w:val="21"/>
              </w:rPr>
              <w:t>组织重要环境因素为潜在火灾、固废排放，需要应对的风险和机遇相关的过程为设备销售、垃圾分类收集、运输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宋体" w:hAnsi="宋体"/>
                <w:b/>
                <w:szCs w:val="21"/>
              </w:rPr>
            </w:pPr>
            <w:r>
              <w:rPr>
                <w:rFonts w:hint="eastAsia" w:asciiTheme="minorEastAsia" w:hAnsiTheme="minorEastAsia" w:eastAsiaTheme="minorEastAsia"/>
                <w:bCs/>
                <w:iCs/>
                <w:szCs w:val="21"/>
              </w:rPr>
              <w:t>组织建立了危险源识别、评价控制程序，识别评价了危险源、风险相关的过程，评价出了重要危险源（火灾、触电、交通意外伤害等），与之相关的过程有合同评审、产品采购、销售过程。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b/>
                <w:szCs w:val="21"/>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b/>
                <w:szCs w:val="21"/>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szCs w:val="21"/>
              </w:rPr>
              <w:t>。同时，质量目标得到沟通和监视评价，通过数据的汇总统计、描述性统计等方法对目标进行了测量，总体已达到或超</w:t>
            </w:r>
            <w:r>
              <w:rPr>
                <w:rFonts w:hint="eastAsia" w:ascii="宋体" w:hAnsi="宋体" w:cs="宋体"/>
                <w:szCs w:val="21"/>
                <w:highlight w:val="none"/>
              </w:rPr>
              <w:t>过了规定的目标值。通过202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b/>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hint="eastAsia" w:ascii="宋体" w:hAnsi="宋体" w:cs="宋体"/>
                <w:szCs w:val="21"/>
              </w:rPr>
              <w:t>满意度调查按规定实</w:t>
            </w:r>
            <w:r>
              <w:rPr>
                <w:rFonts w:hint="eastAsia" w:ascii="宋体" w:hAnsi="宋体" w:cs="宋体"/>
                <w:color w:val="000000"/>
                <w:szCs w:val="21"/>
              </w:rPr>
              <w:t>施，202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月实施，满意度评价9</w:t>
            </w:r>
            <w:r>
              <w:rPr>
                <w:rFonts w:hint="eastAsia" w:ascii="宋体" w:hAnsi="宋体" w:cs="宋体"/>
                <w:color w:val="000000"/>
                <w:szCs w:val="21"/>
                <w:lang w:val="en-US" w:eastAsia="zh-CN"/>
              </w:rPr>
              <w:t>1%</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400" w:lineRule="exact"/>
              <w:rPr>
                <w:rFonts w:ascii="宋体" w:hAnsi="宋体"/>
                <w:b/>
                <w:szCs w:val="21"/>
              </w:rPr>
            </w:pPr>
            <w:r>
              <w:rPr>
                <w:rFonts w:hint="eastAsia" w:ascii="宋体" w:hAnsi="宋体" w:cs="宋体"/>
                <w:szCs w:val="21"/>
              </w:rPr>
              <w:t>建立有《内部审核控制程序》，规定了内审频次一年一次，内审时间：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28日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宋体" w:hAnsi="宋体"/>
                <w:szCs w:val="21"/>
              </w:rPr>
              <w:t>不符合条款涉及市场部Q9.1.2，公司未能提供顾客满意度评价表</w:t>
            </w:r>
            <w:r>
              <w:rPr>
                <w:rFonts w:hint="eastAsia" w:ascii="宋体" w:hAnsi="宋体"/>
                <w:szCs w:val="21"/>
                <w:highlight w:val="none"/>
                <w:lang w:eastAsia="zh-CN"/>
              </w:rPr>
              <w:t>，</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b/>
                <w:szCs w:val="21"/>
              </w:rPr>
            </w:pPr>
            <w:r>
              <w:rPr>
                <w:rFonts w:hint="eastAsia" w:ascii="宋体" w:hAnsi="宋体" w:cs="宋体"/>
                <w:szCs w:val="21"/>
              </w:rPr>
              <w:t>管理评审频次为一年一次、本次管理评审于202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5.</w:t>
            </w:r>
            <w:r>
              <w:rPr>
                <w:rFonts w:ascii="宋体" w:hAnsi="宋体"/>
                <w:b/>
                <w:szCs w:val="21"/>
              </w:rPr>
              <w:t xml:space="preserve"> EMS</w:t>
            </w:r>
            <w:r>
              <w:rPr>
                <w:rFonts w:hint="eastAsia" w:ascii="宋体" w:hAnsi="宋体"/>
                <w:b/>
                <w:szCs w:val="21"/>
              </w:rPr>
              <w:t>是否按规定对主要污染物（污水、废气、噪声、废渣等）及排放实施了例行的监视或测量，结果是否满足相关要求？</w:t>
            </w:r>
          </w:p>
          <w:p>
            <w:pPr>
              <w:spacing w:line="240" w:lineRule="exact"/>
              <w:rPr>
                <w:rFonts w:ascii="宋体" w:hAnsi="宋体"/>
                <w:b/>
                <w:szCs w:val="21"/>
              </w:rPr>
            </w:pPr>
            <w:r>
              <w:rPr>
                <w:rFonts w:hint="eastAsia" w:ascii="宋体" w:hAnsi="宋体"/>
                <w:b/>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6.  EMS</w:t>
            </w:r>
            <w:r>
              <w:rPr>
                <w:rFonts w:hint="eastAsia" w:ascii="宋体" w:hAnsi="宋体"/>
                <w:b/>
                <w:szCs w:val="21"/>
              </w:rPr>
              <w:t>国家</w:t>
            </w:r>
            <w:r>
              <w:rPr>
                <w:rFonts w:ascii="宋体" w:hAnsi="宋体"/>
                <w:b/>
                <w:szCs w:val="21"/>
              </w:rPr>
              <w:t>/</w:t>
            </w:r>
            <w:r>
              <w:rPr>
                <w:rFonts w:hint="eastAsia" w:ascii="宋体" w:hAnsi="宋体"/>
                <w:b/>
                <w:szCs w:val="21"/>
              </w:rPr>
              <w:t>地方环保部门监测结果、新改扩建项目符合环评报告、三同时验收报告要求情况及措施</w:t>
            </w:r>
            <w:r>
              <w:rPr>
                <w:rFonts w:ascii="宋体" w:hAnsi="宋体"/>
                <w:b/>
                <w:szCs w:val="21"/>
              </w:rPr>
              <w:t>(98</w:t>
            </w:r>
            <w:r>
              <w:rPr>
                <w:rFonts w:hint="eastAsia" w:ascii="宋体" w:hAnsi="宋体"/>
                <w:b/>
                <w:szCs w:val="21"/>
              </w:rPr>
              <w:t>年后</w:t>
            </w:r>
            <w:r>
              <w:rPr>
                <w:rFonts w:ascii="宋体" w:hAnsi="宋体"/>
                <w:b/>
                <w:szCs w:val="21"/>
              </w:rPr>
              <w:t xml:space="preserve">) </w:t>
            </w:r>
          </w:p>
          <w:p>
            <w:pPr>
              <w:spacing w:line="240" w:lineRule="exact"/>
              <w:ind w:firstLine="21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7. OHSMS</w:t>
            </w:r>
            <w:r>
              <w:rPr>
                <w:rFonts w:hint="eastAsia" w:ascii="宋体" w:hAnsi="宋体"/>
                <w:b/>
                <w:szCs w:val="21"/>
              </w:rPr>
              <w:t>是否按规定对职业健康安全项目进行定期测量，结果是否满足相关要求：</w:t>
            </w:r>
          </w:p>
          <w:p>
            <w:pPr>
              <w:spacing w:line="240" w:lineRule="exact"/>
              <w:rPr>
                <w:rFonts w:ascii="宋体" w:hAnsi="宋体"/>
                <w:b/>
                <w:szCs w:val="21"/>
              </w:rPr>
            </w:pPr>
          </w:p>
          <w:p>
            <w:pPr>
              <w:spacing w:line="240" w:lineRule="exact"/>
              <w:ind w:firstLine="21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8.OHSMS</w:t>
            </w:r>
            <w:r>
              <w:rPr>
                <w:rFonts w:hint="eastAsia" w:ascii="宋体" w:hAnsi="宋体"/>
                <w:b/>
                <w:szCs w:val="21"/>
              </w:rPr>
              <w:t>国家</w:t>
            </w:r>
            <w:r>
              <w:rPr>
                <w:rFonts w:ascii="宋体" w:hAnsi="宋体"/>
                <w:b/>
                <w:szCs w:val="21"/>
              </w:rPr>
              <w:t>/</w:t>
            </w:r>
            <w:r>
              <w:rPr>
                <w:rFonts w:hint="eastAsia" w:ascii="宋体" w:hAnsi="宋体"/>
                <w:b/>
                <w:szCs w:val="21"/>
              </w:rPr>
              <w:t>地方职业健康安全部门监督检查情况及措施</w:t>
            </w:r>
          </w:p>
          <w:p>
            <w:pPr>
              <w:spacing w:line="240" w:lineRule="exact"/>
              <w:rPr>
                <w:rFonts w:ascii="宋体" w:hAnsi="宋体"/>
                <w:b/>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Cs w:val="21"/>
              </w:rPr>
            </w:pPr>
            <w:r>
              <w:rPr>
                <w:rFonts w:ascii="宋体" w:hAnsi="宋体"/>
                <w:b/>
                <w:szCs w:val="21"/>
              </w:rPr>
              <w:t xml:space="preserve">9. </w:t>
            </w:r>
            <w:r>
              <w:rPr>
                <w:rFonts w:hint="eastAsia" w:ascii="宋体" w:hAnsi="宋体"/>
                <w:b/>
                <w:szCs w:val="21"/>
              </w:rPr>
              <w:t>其他能够标明组织绩效、信誉的证据</w:t>
            </w:r>
            <w:r>
              <w:rPr>
                <w:rFonts w:ascii="宋体" w:hAnsi="宋体"/>
                <w:b/>
                <w:szCs w:val="21"/>
              </w:rPr>
              <w:t>/</w:t>
            </w:r>
            <w:r>
              <w:rPr>
                <w:rFonts w:hint="eastAsia" w:ascii="宋体" w:hAnsi="宋体"/>
                <w:b/>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(5)持续改进</w:t>
            </w:r>
          </w:p>
        </w:tc>
        <w:tc>
          <w:tcPr>
            <w:tcW w:w="9198" w:type="dxa"/>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z w:val="20"/>
                <w:szCs w:val="20"/>
              </w:rPr>
            </w:pPr>
            <w:r>
              <w:rPr>
                <w:rFonts w:hint="eastAsia"/>
                <w:b/>
                <w:sz w:val="20"/>
                <w:szCs w:val="20"/>
              </w:rPr>
              <w:t>3. 一阶段提出问题的整改情况?</w:t>
            </w:r>
          </w:p>
          <w:p>
            <w:pPr>
              <w:spacing w:line="240" w:lineRule="exact"/>
              <w:ind w:left="-105" w:leftChars="-50" w:firstLine="506" w:firstLineChars="252"/>
              <w:rPr>
                <w:rFonts w:ascii="宋体" w:hAnsi="宋体"/>
                <w:b/>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highlight w:val="none"/>
        </w:rPr>
      </w:pPr>
      <w:r>
        <w:rPr>
          <w:rFonts w:hint="eastAsia"/>
          <w:b/>
          <w:highlight w:val="none"/>
        </w:rPr>
        <w:t>1. 本次审核共开具不符合项报告</w:t>
      </w:r>
      <w:r>
        <w:rPr>
          <w:rFonts w:hint="eastAsia"/>
          <w:b/>
          <w:highlight w:val="none"/>
          <w:lang w:val="en-US" w:eastAsia="zh-CN"/>
        </w:rPr>
        <w:t>1</w:t>
      </w:r>
      <w:r>
        <w:rPr>
          <w:rFonts w:hint="eastAsia"/>
          <w:b/>
          <w:highlight w:val="none"/>
        </w:rPr>
        <w:t>项；其中</w:t>
      </w:r>
      <w:r>
        <w:rPr>
          <w:b/>
          <w:highlight w:val="none"/>
        </w:rPr>
        <w:pict>
          <v:line id="直接连接符 1" o:spid="_x0000_s1029" o:spt="20" style="position:absolute;left:0pt;margin-left:210pt;margin-top:16.2pt;height:0pt;width:0pt;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0项，一般不符合</w:t>
      </w:r>
      <w:r>
        <w:rPr>
          <w:rFonts w:hint="eastAsia"/>
          <w:b/>
          <w:highlight w:val="none"/>
          <w:lang w:val="en-US" w:eastAsia="zh-CN"/>
        </w:rPr>
        <w:t>1</w:t>
      </w:r>
      <w:r>
        <w:rPr>
          <w:rFonts w:hint="eastAsia"/>
          <w:b/>
          <w:highlight w:val="none"/>
        </w:rPr>
        <w:t>项，观察项0项，分布在综合部门</w:t>
      </w:r>
      <w:r>
        <w:rPr>
          <w:rFonts w:hint="eastAsia"/>
          <w:b/>
          <w:highlight w:val="none"/>
          <w:lang w:val="en-US" w:eastAsia="zh-CN"/>
        </w:rPr>
        <w:t>E6.1.2</w:t>
      </w:r>
      <w:r>
        <w:rPr>
          <w:rFonts w:hint="eastAsia"/>
          <w:b/>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0080" w:type="dxa"/>
          </w:tcPr>
          <w:p>
            <w:pPr>
              <w:rPr>
                <w:b/>
                <w:color w:val="000000" w:themeColor="text1"/>
              </w:rPr>
            </w:pPr>
            <w:r>
              <w:rPr>
                <w:rFonts w:hint="eastAsia"/>
                <w:b/>
                <w:color w:val="000000" w:themeColor="text1"/>
              </w:rPr>
              <w:t>2.对审核范围适宜性结论</w:t>
            </w:r>
          </w:p>
          <w:p>
            <w:pPr>
              <w:ind w:left="-105" w:leftChars="-50"/>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ind w:left="-105" w:leftChars="-50"/>
              <w:rPr>
                <w:b/>
                <w:color w:val="000000" w:themeColor="text1"/>
              </w:rPr>
            </w:pPr>
            <w:r>
              <w:rPr>
                <w:rFonts w:hint="eastAsia"/>
                <w:b/>
                <w:sz w:val="26"/>
                <w:szCs w:val="26"/>
                <w:lang w:eastAsia="zh-CN"/>
              </w:rPr>
              <w:t>□</w:t>
            </w:r>
            <w:r>
              <w:rPr>
                <w:rFonts w:hint="eastAsia"/>
                <w:b/>
                <w:color w:val="000000" w:themeColor="text1"/>
              </w:rPr>
              <w:t>审核范围变更为，</w:t>
            </w:r>
          </w:p>
          <w:p>
            <w:pPr>
              <w:rPr>
                <w:rFonts w:hint="eastAsia" w:eastAsia="宋体"/>
                <w:color w:val="000000"/>
                <w:szCs w:val="21"/>
                <w:lang w:eastAsia="zh-CN"/>
              </w:rPr>
            </w:pPr>
            <w:r>
              <w:rPr>
                <w:rFonts w:hint="eastAsia" w:ascii="宋体" w:hAnsi="宋体"/>
                <w:szCs w:val="21"/>
              </w:rPr>
              <w:t>Q</w:t>
            </w:r>
            <w:r>
              <w:rPr>
                <w:rFonts w:hint="eastAsia" w:ascii="宋体" w:hAnsi="宋体"/>
                <w:szCs w:val="21"/>
                <w:lang w:val="en-US" w:eastAsia="zh-CN"/>
              </w:rPr>
              <w:t>MS</w:t>
            </w:r>
            <w:r>
              <w:rPr>
                <w:rFonts w:hint="eastAsia" w:ascii="宋体" w:hAnsi="宋体"/>
                <w:szCs w:val="21"/>
              </w:rPr>
              <w:t>：无负压供水设备的销售</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E</w:t>
            </w:r>
            <w:r>
              <w:rPr>
                <w:rFonts w:hint="eastAsia" w:ascii="宋体" w:hAnsi="宋体"/>
                <w:szCs w:val="21"/>
                <w:lang w:val="en-US" w:eastAsia="zh-CN"/>
              </w:rPr>
              <w:t>MS</w:t>
            </w:r>
            <w:r>
              <w:rPr>
                <w:rFonts w:hint="eastAsia" w:ascii="宋体" w:hAnsi="宋体"/>
                <w:szCs w:val="21"/>
              </w:rPr>
              <w:t>：无负压供水设备的销售所涉及场所的相关环境管理活动</w:t>
            </w:r>
            <w:r>
              <w:rPr>
                <w:rFonts w:hint="eastAsia" w:ascii="宋体" w:hAnsi="宋体"/>
                <w:szCs w:val="21"/>
                <w:lang w:eastAsia="zh-CN"/>
              </w:rPr>
              <w:t>。</w:t>
            </w:r>
          </w:p>
          <w:p>
            <w:pPr>
              <w:rPr>
                <w:b/>
                <w:color w:val="000000" w:themeColor="text1"/>
                <w:spacing w:val="-10"/>
                <w:sz w:val="22"/>
                <w:szCs w:val="22"/>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 xml:space="preserve">：无负压供水设备的销售所涉及场所的相关职业健康安全管理活动 </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1541780</wp:posOffset>
            </wp:positionH>
            <wp:positionV relativeFrom="paragraph">
              <wp:posOffset>383540</wp:posOffset>
            </wp:positionV>
            <wp:extent cx="757555" cy="419735"/>
            <wp:effectExtent l="0" t="0" r="4445" b="6985"/>
            <wp:wrapNone/>
            <wp:docPr id="7"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52" w:firstLineChars="250"/>
        <w:rPr>
          <w:b/>
          <w:color w:val="000000" w:themeColor="text1"/>
        </w:rPr>
      </w:pPr>
      <w:r>
        <w:rPr>
          <w:rFonts w:hint="eastAsia"/>
          <w:b/>
          <w:sz w:val="22"/>
          <w:szCs w:val="22"/>
        </w:rPr>
        <w:drawing>
          <wp:anchor distT="0" distB="0" distL="114300" distR="114300" simplePos="0" relativeHeight="251663360" behindDoc="0" locked="0" layoutInCell="1" allowOverlap="1">
            <wp:simplePos x="0" y="0"/>
            <wp:positionH relativeFrom="column">
              <wp:posOffset>3059430</wp:posOffset>
            </wp:positionH>
            <wp:positionV relativeFrom="paragraph">
              <wp:posOffset>128905</wp:posOffset>
            </wp:positionV>
            <wp:extent cx="427355" cy="442595"/>
            <wp:effectExtent l="0" t="0" r="14605" b="14605"/>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pic:cNvPicPr>
                  </pic:nvPicPr>
                  <pic:blipFill>
                    <a:blip r:embed="rId7"/>
                    <a:stretch>
                      <a:fillRect/>
                    </a:stretch>
                  </pic:blipFill>
                  <pic:spPr>
                    <a:xfrm>
                      <a:off x="0" y="0"/>
                      <a:ext cx="427355" cy="44259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2221865</wp:posOffset>
            </wp:positionH>
            <wp:positionV relativeFrom="paragraph">
              <wp:posOffset>180340</wp:posOffset>
            </wp:positionV>
            <wp:extent cx="684530" cy="341630"/>
            <wp:effectExtent l="0" t="0" r="1270" b="8890"/>
            <wp:wrapNone/>
            <wp:docPr id="5"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cd23edb0d814701504dd7deb97d797b"/>
                    <pic:cNvPicPr>
                      <a:picLocks noChangeAspect="1"/>
                    </pic:cNvPicPr>
                  </pic:nvPicPr>
                  <pic:blipFill>
                    <a:blip r:embed="rId8"/>
                    <a:srcRect l="10378" t="24118" r="4335" b="17352"/>
                    <a:stretch>
                      <a:fillRect/>
                    </a:stretch>
                  </pic:blipFill>
                  <pic:spPr>
                    <a:xfrm>
                      <a:off x="0" y="0"/>
                      <a:ext cx="684530" cy="341630"/>
                    </a:xfrm>
                    <a:prstGeom prst="rect">
                      <a:avLst/>
                    </a:prstGeom>
                    <a:noFill/>
                    <a:ln>
                      <a:noFill/>
                    </a:ln>
                  </pic:spPr>
                </pic:pic>
              </a:graphicData>
            </a:graphic>
          </wp:anchor>
        </w:drawing>
      </w:r>
      <w:r>
        <w:rPr>
          <w:rFonts w:hint="eastAsia"/>
          <w:b/>
          <w:sz w:val="22"/>
          <w:szCs w:val="22"/>
        </w:rPr>
        <w:drawing>
          <wp:anchor distT="0" distB="0" distL="114300" distR="114300" simplePos="0" relativeHeight="251665408" behindDoc="0" locked="0" layoutInCell="1" allowOverlap="1">
            <wp:simplePos x="0" y="0"/>
            <wp:positionH relativeFrom="column">
              <wp:posOffset>1626235</wp:posOffset>
            </wp:positionH>
            <wp:positionV relativeFrom="paragraph">
              <wp:posOffset>121285</wp:posOffset>
            </wp:positionV>
            <wp:extent cx="535305" cy="405130"/>
            <wp:effectExtent l="0" t="0" r="13335" b="6350"/>
            <wp:wrapNone/>
            <wp:docPr id="4" name="图片 8"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C:\Users\Administrator\Desktop\签名.jpg"/>
                    <pic:cNvPicPr>
                      <a:picLocks noChangeAspect="1"/>
                    </pic:cNvPicPr>
                  </pic:nvPicPr>
                  <pic:blipFill>
                    <a:blip r:embed="rId9"/>
                    <a:stretch>
                      <a:fillRect/>
                    </a:stretch>
                  </pic:blipFill>
                  <pic:spPr>
                    <a:xfrm>
                      <a:off x="0" y="0"/>
                      <a:ext cx="535305" cy="405130"/>
                    </a:xfrm>
                    <a:prstGeom prst="rect">
                      <a:avLst/>
                    </a:prstGeom>
                    <a:noFill/>
                    <a:ln>
                      <a:noFill/>
                    </a:ln>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bookmarkStart w:id="21" w:name="_GoBack"/>
      <w:bookmarkEnd w:id="21"/>
    </w:p>
    <w:p>
      <w:pPr>
        <w:snapToGrid w:val="0"/>
        <w:spacing w:line="360" w:lineRule="auto"/>
        <w:ind w:firstLine="3080" w:firstLineChars="1461"/>
        <w:rPr>
          <w:b/>
          <w:color w:val="000000" w:themeColor="text1"/>
          <w:sz w:val="16"/>
          <w:szCs w:val="16"/>
        </w:rPr>
      </w:pPr>
      <w:r>
        <w:rPr>
          <w:rFonts w:hint="eastAsia"/>
          <w:b/>
          <w:color w:val="000000" w:themeColor="text1"/>
        </w:rPr>
        <w:t>日期：202</w:t>
      </w:r>
      <w:r>
        <w:rPr>
          <w:rFonts w:hint="eastAsia"/>
          <w:b/>
          <w:color w:val="000000" w:themeColor="text1"/>
          <w:lang w:val="en-US" w:eastAsia="zh-CN"/>
        </w:rPr>
        <w:t>1</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pacing w:line="360" w:lineRule="auto"/>
        <w:rPr>
          <w:b/>
          <w:color w:val="000000" w:themeColor="text1"/>
          <w:szCs w:val="21"/>
          <w:highlight w:val="none"/>
        </w:rPr>
      </w:pPr>
      <w:r>
        <w:rPr>
          <w:rFonts w:hint="eastAsia"/>
          <w:b/>
          <w:color w:val="000000" w:themeColor="text1"/>
          <w:szCs w:val="21"/>
          <w:highlight w:val="none"/>
        </w:rPr>
        <w:t>1.  审核中发现的</w:t>
      </w:r>
      <w:r>
        <w:rPr>
          <w:rFonts w:hint="eastAsia"/>
          <w:b/>
          <w:color w:val="000000" w:themeColor="text1"/>
          <w:szCs w:val="21"/>
          <w:highlight w:val="none"/>
          <w:lang w:eastAsia="zh-CN"/>
        </w:rPr>
        <w:t>□</w:t>
      </w:r>
      <w:r>
        <w:rPr>
          <w:rFonts w:hint="eastAsia"/>
          <w:b/>
          <w:color w:val="000000" w:themeColor="text1"/>
          <w:szCs w:val="21"/>
          <w:highlight w:val="none"/>
        </w:rPr>
        <w:t>QMS(  )个一般不符合，(  )个严重不符合，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rFonts w:hint="eastAsia"/>
          <w:b/>
          <w:color w:val="000000" w:themeColor="text1"/>
          <w:szCs w:val="21"/>
          <w:highlight w:val="none"/>
        </w:rPr>
      </w:pPr>
      <w:r>
        <w:rPr>
          <w:rFonts w:hint="eastAsia"/>
          <w:b/>
          <w:color w:val="000000" w:themeColor="text1"/>
          <w:szCs w:val="21"/>
          <w:highlight w:val="none"/>
        </w:rPr>
        <w:t>审核中发现的</w:t>
      </w:r>
      <w:r>
        <w:rPr>
          <w:rFonts w:hint="eastAsia"/>
          <w:b/>
          <w:color w:val="000000" w:themeColor="text1"/>
          <w:szCs w:val="21"/>
          <w:highlight w:val="none"/>
          <w:lang w:eastAsia="zh-CN"/>
        </w:rPr>
        <w:t>■</w:t>
      </w:r>
      <w:r>
        <w:rPr>
          <w:rFonts w:hint="eastAsia"/>
          <w:b/>
          <w:color w:val="000000" w:themeColor="text1"/>
          <w:szCs w:val="21"/>
          <w:highlight w:val="none"/>
        </w:rPr>
        <w:t xml:space="preserve">EMS(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)个严重不符合，■验证合格□仍有问题</w:t>
      </w:r>
    </w:p>
    <w:p>
      <w:pPr>
        <w:spacing w:line="360" w:lineRule="auto"/>
        <w:rPr>
          <w:b/>
          <w:color w:val="000000" w:themeColor="text1"/>
          <w:szCs w:val="21"/>
          <w:highlight w:val="none"/>
        </w:rPr>
      </w:pPr>
      <w:r>
        <w:rPr>
          <w:rFonts w:hint="eastAsia"/>
          <w:b/>
          <w:color w:val="000000" w:themeColor="text1"/>
          <w:szCs w:val="21"/>
          <w:highlight w:val="none"/>
        </w:rPr>
        <w:t>审核中发现的</w:t>
      </w:r>
      <w:r>
        <w:rPr>
          <w:rFonts w:hint="eastAsia"/>
          <w:b/>
          <w:color w:val="000000" w:themeColor="text1"/>
          <w:szCs w:val="21"/>
          <w:highlight w:val="none"/>
          <w:lang w:eastAsia="zh-CN"/>
        </w:rPr>
        <w:t>□</w:t>
      </w:r>
      <w:r>
        <w:rPr>
          <w:rFonts w:hint="eastAsia"/>
          <w:b/>
          <w:color w:val="000000" w:themeColor="text1"/>
          <w:szCs w:val="21"/>
          <w:highlight w:val="none"/>
        </w:rPr>
        <w:t xml:space="preserve">OHSMS( </w:t>
      </w:r>
      <w:r>
        <w:rPr>
          <w:rFonts w:hint="eastAsia"/>
          <w:b/>
          <w:color w:val="000000" w:themeColor="text1"/>
          <w:szCs w:val="21"/>
          <w:highlight w:val="none"/>
          <w:lang w:val="en-US" w:eastAsia="zh-CN"/>
        </w:rPr>
        <w:t xml:space="preserve"> </w:t>
      </w:r>
      <w:r>
        <w:rPr>
          <w:rFonts w:hint="eastAsia"/>
          <w:b/>
          <w:color w:val="000000" w:themeColor="text1"/>
          <w:szCs w:val="21"/>
          <w:highlight w:val="none"/>
        </w:rPr>
        <w:t>)个一般不符合，(   )个严重不符合，□验证合格□仍有问题</w:t>
      </w:r>
    </w:p>
    <w:p>
      <w:pPr>
        <w:spacing w:line="360" w:lineRule="auto"/>
        <w:rPr>
          <w:b/>
          <w:color w:val="000000" w:themeColor="text1"/>
          <w:szCs w:val="21"/>
          <w:highlight w:val="none"/>
        </w:rPr>
      </w:pP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lang w:eastAsia="zh-CN"/>
        </w:rPr>
        <w:t>□</w:t>
      </w:r>
      <w:r>
        <w:rPr>
          <w:rFonts w:hint="eastAsia"/>
          <w:b/>
          <w:color w:val="000000" w:themeColor="text1"/>
          <w:szCs w:val="21"/>
        </w:rPr>
        <w:t>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666432" behindDoc="0" locked="0" layoutInCell="1" allowOverlap="1">
            <wp:simplePos x="0" y="0"/>
            <wp:positionH relativeFrom="column">
              <wp:posOffset>703580</wp:posOffset>
            </wp:positionH>
            <wp:positionV relativeFrom="paragraph">
              <wp:posOffset>104140</wp:posOffset>
            </wp:positionV>
            <wp:extent cx="757555" cy="419735"/>
            <wp:effectExtent l="0" t="0" r="4445" b="6985"/>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BDFAB"/>
    <w:multiLevelType w:val="singleLevel"/>
    <w:tmpl w:val="DA7BDFAB"/>
    <w:lvl w:ilvl="0" w:tentative="0">
      <w:start w:val="2"/>
      <w:numFmt w:val="decimal"/>
      <w:suff w:val="nothing"/>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2680083D"/>
    <w:multiLevelType w:val="singleLevel"/>
    <w:tmpl w:val="2680083D"/>
    <w:lvl w:ilvl="0" w:tentative="0">
      <w:start w:val="8"/>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417A29"/>
    <w:rsid w:val="44B05390"/>
    <w:rsid w:val="49A40E18"/>
    <w:rsid w:val="4D985C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2021-05-21T06:51:03Z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358FCC252E9E43B2BD02BE1C6122CBB9</vt:lpwstr>
  </property>
</Properties>
</file>