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u w:val="none"/>
        </w:rPr>
      </w:pPr>
      <w:r>
        <w:rPr>
          <w:rFonts w:hint="eastAsia" w:ascii="宋体" w:hAnsi="宋体"/>
          <w:b/>
          <w:bCs/>
          <w:sz w:val="24"/>
          <w:szCs w:val="24"/>
          <w:u w:val="none"/>
        </w:rPr>
        <w:t>编  号：</w:t>
      </w:r>
      <w:bookmarkStart w:id="0" w:name="合同编号"/>
      <w:r>
        <w:rPr>
          <w:rFonts w:hint="eastAsia" w:ascii="宋体" w:hAnsi="宋体"/>
          <w:b/>
          <w:bCs/>
          <w:kern w:val="0"/>
          <w:sz w:val="24"/>
          <w:szCs w:val="24"/>
          <w:u w:val="none"/>
        </w:rPr>
        <w:t>0537-2019-EO-2021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重庆极地蓝光测绘有限公司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E:34.06.00</w:t>
            </w:r>
          </w:p>
          <w:p>
            <w:pPr>
              <w:jc w:val="center"/>
              <w:rPr>
                <w:b/>
                <w:sz w:val="21"/>
                <w:szCs w:val="21"/>
              </w:rPr>
            </w:pPr>
            <w:r>
              <w:rPr>
                <w:b/>
                <w:sz w:val="21"/>
                <w:szCs w:val="21"/>
              </w:rPr>
              <w:t>O:34.06.00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E:34.06.00</w:t>
            </w:r>
          </w:p>
          <w:p>
            <w:pPr>
              <w:jc w:val="center"/>
              <w:rPr>
                <w:b/>
                <w:sz w:val="21"/>
                <w:szCs w:val="21"/>
              </w:rPr>
            </w:pPr>
            <w:r>
              <w:rPr>
                <w:b/>
                <w:sz w:val="21"/>
                <w:szCs w:val="21"/>
              </w:rPr>
              <w:t>O:34.06.00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rPr>
              <w:t>重庆极地蓝光测绘有限公司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重庆市永川区凤凰大道8号2幢4-4至4-17</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402284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重庆市永川区凤临路2号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402284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重庆市永川区凤临路2号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402284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汤西</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023-49566699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刘泽涵</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刘泽涵</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汤西</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2021年05月17日 上午至2021年05月17日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bCs/>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b/>
                <w:bCs/>
                <w:sz w:val="21"/>
                <w:szCs w:val="21"/>
              </w:rPr>
              <w:t>测绘技术咨询服务（资质范围内）所涉及的相关环境管理活动</w:t>
            </w:r>
            <w:r>
              <w:rPr>
                <w:rFonts w:hint="eastAsia" w:ascii="宋体" w:hAnsi="宋体"/>
                <w:b/>
                <w:bCs/>
                <w:sz w:val="21"/>
                <w:szCs w:val="21"/>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bCs/>
                <w:sz w:val="21"/>
                <w:szCs w:val="21"/>
              </w:rPr>
              <w:t>■</w:t>
            </w:r>
            <w:bookmarkEnd w:id="27"/>
            <w:r>
              <w:rPr>
                <w:rFonts w:ascii="宋体" w:hAnsi="宋体"/>
                <w:b/>
                <w:bCs/>
                <w:sz w:val="21"/>
                <w:szCs w:val="21"/>
              </w:rPr>
              <w:t>OHSMS</w:t>
            </w:r>
            <w:r>
              <w:rPr>
                <w:rFonts w:hint="eastAsia" w:ascii="宋体" w:hAnsi="宋体"/>
                <w:b/>
                <w:bCs/>
                <w:sz w:val="21"/>
                <w:szCs w:val="21"/>
              </w:rPr>
              <w:t xml:space="preserve">：测绘技术咨询服务（资质范围内）所涉及的相关职业健康安全管理活动 </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E：34.06.00</w:t>
            </w:r>
          </w:p>
          <w:p>
            <w:pPr>
              <w:spacing w:line="260" w:lineRule="exact"/>
              <w:rPr>
                <w:rFonts w:ascii="宋体" w:hAnsi="宋体"/>
                <w:b/>
                <w:sz w:val="21"/>
                <w:szCs w:val="21"/>
              </w:rPr>
            </w:pPr>
            <w:r>
              <w:rPr>
                <w:rFonts w:ascii="宋体" w:hAnsi="宋体"/>
                <w:b/>
                <w:sz w:val="21"/>
                <w:szCs w:val="21"/>
              </w:rPr>
              <w:t>O：34.06.00</w:t>
            </w:r>
            <w:bookmarkEnd w:id="28"/>
          </w:p>
        </w:tc>
        <w:tc>
          <w:tcPr>
            <w:tcW w:w="1109" w:type="dxa"/>
            <w:vAlign w:val="center"/>
          </w:tcPr>
          <w:p>
            <w:pPr>
              <w:spacing w:line="260" w:lineRule="exact"/>
              <w:jc w:val="center"/>
              <w:rPr>
                <w:rFonts w:ascii="宋体" w:hAnsi="宋体"/>
                <w:b/>
                <w:sz w:val="21"/>
                <w:szCs w:val="21"/>
                <w:highlight w:val="green"/>
              </w:rPr>
            </w:pPr>
            <w:r>
              <w:rPr>
                <w:rFonts w:hint="eastAsia" w:ascii="宋体" w:hAnsi="宋体"/>
                <w:b/>
                <w:sz w:val="21"/>
                <w:szCs w:val="21"/>
              </w:rPr>
              <w:t>证</w:t>
            </w:r>
            <w:r>
              <w:rPr>
                <w:rFonts w:hint="eastAsia" w:ascii="宋体" w:hAnsi="宋体"/>
                <w:b/>
                <w:sz w:val="21"/>
                <w:szCs w:val="21"/>
                <w:highlight w:val="green"/>
              </w:rPr>
              <w:t>书有</w:t>
            </w:r>
          </w:p>
          <w:p>
            <w:pPr>
              <w:spacing w:line="260" w:lineRule="exact"/>
              <w:jc w:val="center"/>
              <w:rPr>
                <w:rFonts w:ascii="宋体" w:hAnsi="宋体"/>
                <w:b/>
                <w:sz w:val="21"/>
                <w:szCs w:val="21"/>
              </w:rPr>
            </w:pPr>
            <w:r>
              <w:rPr>
                <w:rFonts w:hint="eastAsia" w:ascii="宋体" w:hAnsi="宋体"/>
                <w:b/>
                <w:sz w:val="21"/>
                <w:szCs w:val="21"/>
                <w:highlight w:val="green"/>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2019年11月10日-11日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540"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保障安全  预防污染  遵守法规  持续改进</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val="en-US" w:eastAsia="zh-CN"/>
              </w:rPr>
              <w:t>方案高</w:t>
            </w:r>
            <w:r>
              <w:rPr>
                <w:rFonts w:hint="eastAsia" w:ascii="宋体" w:hAnsi="宋体"/>
                <w:color w:val="000000" w:themeColor="text1"/>
              </w:rPr>
              <w:t>、</w:t>
            </w:r>
            <w:r>
              <w:rPr>
                <w:rFonts w:hint="eastAsia" w:ascii="宋体" w:hAnsi="宋体"/>
                <w:color w:val="000000" w:themeColor="text1"/>
                <w:lang w:val="en-US" w:eastAsia="zh-CN"/>
              </w:rPr>
              <w:t>测绘实施</w:t>
            </w:r>
            <w:r>
              <w:rPr>
                <w:rFonts w:hint="eastAsia" w:ascii="宋体" w:hAnsi="宋体"/>
                <w:color w:val="000000" w:themeColor="text1"/>
              </w:rPr>
              <w:t>，</w:t>
            </w:r>
            <w:r>
              <w:rPr>
                <w:rFonts w:hint="eastAsia" w:ascii="宋体" w:hAnsi="宋体"/>
                <w:color w:val="000000" w:themeColor="text1"/>
                <w:lang w:val="en-US" w:eastAsia="zh-CN"/>
              </w:rPr>
              <w:t>资料交付等，</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600" w:firstLineChars="250"/>
              <w:rPr>
                <w:color w:val="000000"/>
                <w:szCs w:val="21"/>
              </w:rPr>
            </w:pPr>
            <w:r>
              <w:rPr>
                <w:rFonts w:hint="eastAsia"/>
                <w:color w:val="000000"/>
                <w:szCs w:val="21"/>
              </w:rPr>
              <w:t>环境、职业健康安全目标：</w:t>
            </w:r>
          </w:p>
          <w:p>
            <w:pPr>
              <w:numPr>
                <w:ilvl w:val="0"/>
                <w:numId w:val="2"/>
              </w:numPr>
              <w:ind w:firstLine="600" w:firstLineChars="250"/>
              <w:rPr>
                <w:rFonts w:hint="eastAsia" w:ascii="宋体" w:hAnsi="宋体" w:cs="宋体"/>
                <w:kern w:val="0"/>
                <w:szCs w:val="21"/>
              </w:rPr>
            </w:pPr>
            <w:r>
              <w:rPr>
                <w:rFonts w:hint="eastAsia" w:ascii="宋体" w:hAnsi="宋体" w:cs="宋体"/>
                <w:kern w:val="0"/>
                <w:szCs w:val="21"/>
              </w:rPr>
              <w:t>固废处置率100%</w:t>
            </w:r>
            <w:r>
              <w:rPr>
                <w:rFonts w:hint="eastAsia" w:ascii="宋体" w:hAnsi="宋体" w:cs="宋体"/>
                <w:kern w:val="0"/>
                <w:szCs w:val="21"/>
                <w:lang w:val="en-US" w:eastAsia="zh-CN"/>
              </w:rPr>
              <w:t>；</w:t>
            </w:r>
          </w:p>
          <w:p>
            <w:pPr>
              <w:numPr>
                <w:ilvl w:val="0"/>
                <w:numId w:val="2"/>
              </w:numPr>
              <w:ind w:firstLine="600" w:firstLineChars="250"/>
              <w:rPr>
                <w:rFonts w:ascii="宋体" w:hAnsi="宋体" w:cs="宋体"/>
                <w:color w:val="000000"/>
                <w:szCs w:val="21"/>
              </w:rPr>
            </w:pPr>
            <w:r>
              <w:rPr>
                <w:rFonts w:hint="eastAsia" w:ascii="宋体" w:hAnsi="宋体" w:cs="宋体"/>
                <w:kern w:val="0"/>
                <w:szCs w:val="21"/>
              </w:rPr>
              <w:t>火灾</w:t>
            </w:r>
            <w:r>
              <w:rPr>
                <w:rFonts w:hint="eastAsia" w:ascii="宋体" w:hAnsi="宋体" w:cs="宋体"/>
                <w:kern w:val="0"/>
                <w:szCs w:val="21"/>
                <w:lang w:val="en-US" w:eastAsia="zh-CN"/>
              </w:rPr>
              <w:t>发生率为</w:t>
            </w:r>
            <w:r>
              <w:rPr>
                <w:rFonts w:hint="eastAsia" w:ascii="宋体" w:hAnsi="宋体" w:cs="宋体"/>
                <w:kern w:val="0"/>
                <w:szCs w:val="21"/>
              </w:rPr>
              <w:t>零</w:t>
            </w:r>
            <w:r>
              <w:rPr>
                <w:rFonts w:hint="eastAsia" w:ascii="宋体" w:hAnsi="宋体" w:cs="宋体"/>
                <w:kern w:val="0"/>
                <w:szCs w:val="21"/>
                <w:lang w:val="en-US" w:eastAsia="zh-CN"/>
              </w:rPr>
              <w:t>；</w:t>
            </w:r>
          </w:p>
          <w:p>
            <w:pPr>
              <w:numPr>
                <w:ilvl w:val="0"/>
                <w:numId w:val="2"/>
              </w:numPr>
              <w:ind w:firstLine="600" w:firstLineChars="250"/>
              <w:rPr>
                <w:rFonts w:ascii="宋体" w:hAnsi="宋体"/>
                <w:b/>
                <w:color w:val="000000" w:themeColor="text1"/>
              </w:rPr>
            </w:pPr>
            <w:r>
              <w:rPr>
                <w:rFonts w:hint="eastAsia" w:ascii="宋体" w:hAnsi="宋体" w:cs="宋体"/>
                <w:kern w:val="0"/>
                <w:szCs w:val="21"/>
              </w:rPr>
              <w:t>环境污染事件为零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w:t>
            </w:r>
            <w:r>
              <w:rPr>
                <w:rFonts w:hint="eastAsia" w:ascii="宋体" w:hAnsi="宋体" w:cs="宋体"/>
                <w:color w:val="000000" w:themeColor="text1"/>
                <w:highlight w:val="none"/>
              </w:rPr>
              <w:t>系文件于</w:t>
            </w:r>
            <w:r>
              <w:rPr>
                <w:rFonts w:hint="eastAsia" w:ascii="宋体" w:hAnsi="宋体" w:cs="Arial"/>
                <w:color w:val="000000" w:themeColor="text1"/>
                <w:highlight w:val="none"/>
              </w:rPr>
              <w:t>2019</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日予以发布并有效实施运行，经对</w:t>
            </w:r>
            <w:r>
              <w:rPr>
                <w:rFonts w:hint="eastAsia" w:ascii="宋体" w:hAnsi="宋体" w:cs="宋体"/>
                <w:color w:val="000000" w:themeColor="text1"/>
              </w:rPr>
              <w:t>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测绘技术咨询服务（资质范围内）</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highlight w:val="none"/>
              </w:rPr>
              <w:t>办公场所面积200平方左右。</w:t>
            </w:r>
            <w:r>
              <w:rPr>
                <w:rFonts w:hint="eastAsia" w:ascii="宋体" w:hAnsi="宋体" w:cs="宋体"/>
                <w:szCs w:val="21"/>
                <w:highlight w:val="none"/>
              </w:rPr>
              <w:t>主要设备包</w:t>
            </w:r>
            <w:r>
              <w:rPr>
                <w:rFonts w:hint="eastAsia" w:ascii="宋体" w:hAnsi="宋体" w:cs="宋体"/>
                <w:szCs w:val="21"/>
              </w:rPr>
              <w:t>括</w:t>
            </w:r>
            <w:r>
              <w:rPr>
                <w:rFonts w:hint="eastAsia" w:ascii="宋体" w:hAnsi="宋体" w:cs="宋体"/>
                <w:szCs w:val="21"/>
                <w:lang w:val="en-US" w:eastAsia="zh-CN"/>
              </w:rPr>
              <w:t>电脑</w:t>
            </w:r>
            <w:r>
              <w:rPr>
                <w:rFonts w:hint="eastAsia" w:ascii="宋体" w:hAnsi="宋体" w:cs="宋体"/>
                <w:szCs w:val="21"/>
              </w:rPr>
              <w:t>和办公设备</w:t>
            </w:r>
            <w:r>
              <w:rPr>
                <w:rFonts w:hint="eastAsia" w:ascii="宋体" w:hAnsi="宋体" w:cs="宋体"/>
                <w:szCs w:val="21"/>
                <w:lang w:eastAsia="zh-CN"/>
              </w:rPr>
              <w:t>、</w:t>
            </w:r>
            <w:r>
              <w:rPr>
                <w:rFonts w:hint="eastAsia" w:ascii="宋体" w:hAnsi="宋体" w:cs="宋体"/>
                <w:szCs w:val="21"/>
                <w:lang w:val="en-US" w:eastAsia="zh-CN"/>
              </w:rPr>
              <w:t>全站仪、水准仪、GPS、探管仪、管道机器人、管道潜望镜</w:t>
            </w:r>
            <w:r>
              <w:rPr>
                <w:rFonts w:hint="eastAsia" w:ascii="宋体" w:hAnsi="宋体" w:cs="宋体"/>
                <w:szCs w:val="21"/>
              </w:rPr>
              <w:t>等</w:t>
            </w:r>
            <w:r>
              <w:rPr>
                <w:rFonts w:hint="eastAsia" w:ascii="宋体" w:hAnsi="宋体"/>
                <w:szCs w:val="21"/>
              </w:rPr>
              <w:t>，可以满足测绘技术咨询服务（资质范围内）的需要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办公、生产服务场所和内设备布置合理，通道畅通，照明设施齐全，均配备了消防设施等设施。办公室明亮，培训场所光线较充足。每月由综合部对工作环境进行定期检查。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szCs w:val="21"/>
                <w:lang w:val="en-US" w:eastAsia="zh-CN"/>
              </w:rPr>
              <w:t>全站仪、水准仪、GPS、探管仪、管道机器人、管道潜望镜</w:t>
            </w:r>
            <w:r>
              <w:rPr>
                <w:rFonts w:hint="eastAsia" w:ascii="宋体" w:hAnsi="宋体" w:cs="宋体"/>
                <w:szCs w:val="21"/>
              </w:rPr>
              <w:t>等</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组织重要环境因</w:t>
            </w:r>
            <w:r>
              <w:rPr>
                <w:rFonts w:hint="eastAsia" w:asciiTheme="minorEastAsia" w:hAnsiTheme="minorEastAsia" w:eastAsiaTheme="minorEastAsia"/>
                <w:bCs/>
                <w:iCs/>
                <w:highlight w:val="none"/>
              </w:rPr>
              <w:t>素为固废排放、潜在火灾，需要应对的风险和机</w:t>
            </w:r>
            <w:r>
              <w:rPr>
                <w:rFonts w:hint="eastAsia" w:asciiTheme="minorEastAsia" w:hAnsiTheme="minorEastAsia" w:eastAsiaTheme="minorEastAsia"/>
                <w:bCs/>
                <w:iCs/>
              </w:rPr>
              <w:t>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val="en-US" w:eastAsia="zh-CN"/>
              </w:rPr>
              <w:t>中暑</w:t>
            </w:r>
            <w:r>
              <w:rPr>
                <w:rFonts w:hint="eastAsia" w:asciiTheme="minorEastAsia" w:hAnsiTheme="minorEastAsia" w:eastAsiaTheme="minorEastAsia"/>
                <w:bCs/>
                <w:iCs/>
              </w:rPr>
              <w:t>等），与之相关的过程有</w:t>
            </w:r>
            <w:r>
              <w:rPr>
                <w:rFonts w:hint="eastAsia" w:asciiTheme="minorEastAsia" w:hAnsiTheme="minorEastAsia" w:eastAsiaTheme="minorEastAsia"/>
                <w:bCs/>
                <w:iCs/>
                <w:lang w:val="en-US" w:eastAsia="zh-CN"/>
              </w:rPr>
              <w:t>抽样</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检测</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交付</w:t>
            </w:r>
            <w:r>
              <w:rPr>
                <w:rFonts w:hint="eastAsia" w:asciiTheme="minorEastAsia" w:hAnsiTheme="minorEastAsia" w:eastAsiaTheme="minorEastAsia"/>
                <w:bCs/>
                <w:iCs/>
              </w:rPr>
              <w:t>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w:t>
            </w:r>
            <w:r>
              <w:rPr>
                <w:rFonts w:hint="eastAsia" w:ascii="宋体" w:hAnsi="宋体" w:cs="宋体"/>
                <w:color w:val="000000"/>
                <w:szCs w:val="21"/>
                <w:highlight w:val="none"/>
              </w:rPr>
              <w:t>频次等。同时，质量目标得到沟通和监视评价，通过数据的汇总统计、描述性统计等方法对目标进行了测量，总体已达到或超过了规定的目标值。通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tabs>
                <w:tab w:val="right" w:pos="9332"/>
              </w:tabs>
              <w:spacing w:line="4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val="en-US" w:eastAsia="zh-CN"/>
              </w:rPr>
              <w:t>行政</w:t>
            </w:r>
            <w:r>
              <w:rPr>
                <w:rFonts w:hint="eastAsia" w:ascii="宋体" w:hAnsi="宋体"/>
                <w:szCs w:val="21"/>
              </w:rPr>
              <w:t>部E/S</w:t>
            </w:r>
            <w:r>
              <w:rPr>
                <w:rFonts w:hint="eastAsia" w:ascii="宋体" w:hAnsi="宋体"/>
                <w:szCs w:val="21"/>
                <w:lang w:val="en-US" w:eastAsia="zh-CN"/>
              </w:rPr>
              <w:t>8.2</w:t>
            </w:r>
            <w:r>
              <w:rPr>
                <w:rFonts w:hint="eastAsia" w:ascii="宋体" w:hAnsi="宋体"/>
                <w:szCs w:val="21"/>
              </w:rPr>
              <w:t>条款</w:t>
            </w:r>
            <w:r>
              <w:rPr>
                <w:rFonts w:hint="eastAsia" w:ascii="宋体" w:hAnsi="宋体"/>
                <w:szCs w:val="21"/>
                <w:lang w:eastAsia="zh-CN"/>
              </w:rPr>
              <w:t>“</w:t>
            </w:r>
            <w:r>
              <w:rPr>
                <w:rFonts w:hint="eastAsia" w:ascii="宋体" w:hAnsi="宋体"/>
                <w:szCs w:val="21"/>
              </w:rPr>
              <w:t>抽查，配置的灭火器已失效</w:t>
            </w:r>
            <w:r>
              <w:rPr>
                <w:rFonts w:hint="eastAsia" w:ascii="宋体" w:hAnsi="宋体"/>
                <w:szCs w:val="21"/>
                <w:lang w:eastAsia="zh-CN"/>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w:t>
            </w:r>
            <w:r>
              <w:rPr>
                <w:rFonts w:hint="eastAsia" w:ascii="宋体" w:hAnsi="宋体" w:cs="宋体"/>
                <w:szCs w:val="21"/>
                <w:highlight w:val="none"/>
              </w:rPr>
              <w:t>、本次管理评审于</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w:t>
            </w:r>
            <w:r>
              <w:rPr>
                <w:rFonts w:hint="eastAsia" w:ascii="宋体" w:hAnsi="宋体" w:cs="宋体"/>
                <w:szCs w:val="21"/>
                <w:highlight w:val="none"/>
              </w:rPr>
              <w:t>由总经理主持</w:t>
            </w:r>
            <w:r>
              <w:rPr>
                <w:rFonts w:hint="eastAsia" w:ascii="宋体" w:hAnsi="宋体" w:cs="宋体"/>
                <w:szCs w:val="21"/>
              </w:rPr>
              <w:t>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eastAsia="zh-CN"/>
              </w:rPr>
              <w:t>部</w:t>
            </w:r>
            <w:r>
              <w:rPr>
                <w:rFonts w:hint="eastAsia" w:ascii="宋体" w:hAnsi="宋体" w:cs="宋体"/>
                <w:color w:val="auto"/>
                <w:sz w:val="21"/>
                <w:szCs w:val="21"/>
                <w:highlight w:val="none"/>
                <w:lang w:val="en-US" w:eastAsia="zh-CN"/>
              </w:rPr>
              <w:t>S8.1条款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w:t>
      </w:r>
      <w:r>
        <w:rPr>
          <w:rFonts w:hint="eastAsia" w:ascii="宋体" w:hAnsi="宋体"/>
          <w:b/>
          <w:szCs w:val="21"/>
          <w:highlight w:val="none"/>
          <w:lang w:eastAsia="zh-CN"/>
        </w:rPr>
        <w:t>，</w:t>
      </w:r>
      <w:r>
        <w:rPr>
          <w:rFonts w:hint="eastAsia" w:ascii="宋体" w:hAnsi="宋体"/>
          <w:b/>
          <w:szCs w:val="21"/>
          <w:highlight w:val="none"/>
          <w:lang w:val="en-US" w:eastAsia="zh-CN"/>
        </w:rPr>
        <w:t>不符合项</w:t>
      </w:r>
      <w:r>
        <w:rPr>
          <w:rFonts w:hint="eastAsia" w:ascii="宋体" w:hAnsi="宋体"/>
          <w:b/>
          <w:szCs w:val="21"/>
          <w:highlight w:val="none"/>
        </w:rPr>
        <w:t>分布在</w:t>
      </w:r>
      <w:r>
        <w:rPr>
          <w:rFonts w:hint="eastAsia" w:ascii="宋体" w:hAnsi="宋体"/>
          <w:b/>
          <w:szCs w:val="21"/>
          <w:highlight w:val="none"/>
          <w:lang w:val="en-US" w:eastAsia="zh-CN"/>
        </w:rPr>
        <w:t>行政</w:t>
      </w:r>
      <w:r>
        <w:rPr>
          <w:rFonts w:hint="eastAsia" w:ascii="宋体" w:hAnsi="宋体"/>
          <w:b/>
          <w:szCs w:val="21"/>
          <w:highlight w:val="none"/>
        </w:rPr>
        <w:t>部门</w:t>
      </w:r>
      <w:r>
        <w:rPr>
          <w:rFonts w:hint="eastAsia" w:ascii="宋体" w:hAnsi="宋体"/>
          <w:b/>
          <w:szCs w:val="21"/>
          <w:highlight w:val="none"/>
          <w:lang w:val="en-US" w:eastAsia="zh-CN"/>
        </w:rPr>
        <w:t>E8.1</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重庆极地蓝光测绘有限公司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1656080</wp:posOffset>
            </wp:positionH>
            <wp:positionV relativeFrom="paragraph">
              <wp:posOffset>189230</wp:posOffset>
            </wp:positionV>
            <wp:extent cx="469900" cy="486410"/>
            <wp:effectExtent l="0" t="0" r="2540" b="127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6"/>
                    <a:stretch>
                      <a:fillRect/>
                    </a:stretch>
                  </pic:blipFill>
                  <pic:spPr>
                    <a:xfrm>
                      <a:off x="0" y="0"/>
                      <a:ext cx="469900" cy="48641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1692275</wp:posOffset>
            </wp:positionH>
            <wp:positionV relativeFrom="paragraph">
              <wp:posOffset>70485</wp:posOffset>
            </wp:positionV>
            <wp:extent cx="757555" cy="419735"/>
            <wp:effectExtent l="0" t="0" r="4445" b="6985"/>
            <wp:wrapNone/>
            <wp:docPr id="2"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Desktop\新文档 2020-01-09 10.59.53_副本.jpg"/>
                    <pic:cNvPicPr>
                      <a:picLocks noChangeAspect="1"/>
                    </pic:cNvPicPr>
                  </pic:nvPicPr>
                  <pic:blipFill>
                    <a:blip r:embed="rId7"/>
                    <a:srcRect t="11588"/>
                    <a:stretch>
                      <a:fillRect/>
                    </a:stretch>
                  </pic:blipFill>
                  <pic:spPr>
                    <a:xfrm>
                      <a:off x="0" y="0"/>
                      <a:ext cx="757555" cy="41973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2021.5.17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b/>
          <w:bCs/>
          <w:sz w:val="21"/>
          <w:szCs w:val="21"/>
          <w:highlight w:val="none"/>
        </w:rPr>
        <w:t>QMS ()</w:t>
      </w:r>
      <w:r>
        <w:rPr>
          <w:rFonts w:hint="eastAsia"/>
          <w:b/>
          <w:bCs/>
          <w:sz w:val="21"/>
          <w:szCs w:val="21"/>
          <w:highlight w:val="none"/>
        </w:rPr>
        <w:t>个一般不符合，</w:t>
      </w:r>
      <w:r>
        <w:rPr>
          <w:b/>
          <w:bCs/>
          <w:sz w:val="21"/>
          <w:szCs w:val="21"/>
          <w:highlight w:val="none"/>
        </w:rPr>
        <w:t>()</w:t>
      </w:r>
      <w:r>
        <w:rPr>
          <w:rFonts w:hint="eastAsia"/>
          <w:b/>
          <w:bCs/>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bCs/>
          <w:sz w:val="21"/>
          <w:szCs w:val="21"/>
          <w:highlight w:val="none"/>
        </w:rPr>
        <w:t>EMS (</w:t>
      </w:r>
      <w:r>
        <w:rPr>
          <w:rFonts w:hint="eastAsia"/>
          <w:b/>
          <w:bCs/>
          <w:sz w:val="21"/>
          <w:szCs w:val="21"/>
          <w:highlight w:val="none"/>
          <w:lang w:val="en-US" w:eastAsia="zh-CN"/>
        </w:rPr>
        <w:t xml:space="preserve"> 1 </w:t>
      </w:r>
      <w:r>
        <w:rPr>
          <w:b/>
          <w:bCs/>
          <w:sz w:val="21"/>
          <w:szCs w:val="21"/>
          <w:highlight w:val="none"/>
        </w:rPr>
        <w:t>)</w:t>
      </w:r>
      <w:r>
        <w:rPr>
          <w:rFonts w:hint="eastAsia"/>
          <w:b/>
          <w:bCs/>
          <w:sz w:val="21"/>
          <w:szCs w:val="21"/>
          <w:highlight w:val="none"/>
        </w:rPr>
        <w:t>个一般不符合，</w:t>
      </w:r>
      <w:r>
        <w:rPr>
          <w:b/>
          <w:bCs/>
          <w:sz w:val="21"/>
          <w:szCs w:val="21"/>
          <w:highlight w:val="none"/>
        </w:rPr>
        <w:t>(</w:t>
      </w:r>
      <w:r>
        <w:rPr>
          <w:rFonts w:hint="eastAsia"/>
          <w:b/>
          <w:bCs/>
          <w:sz w:val="21"/>
          <w:szCs w:val="21"/>
          <w:highlight w:val="none"/>
          <w:lang w:val="en-US" w:eastAsia="zh-CN"/>
        </w:rPr>
        <w:t xml:space="preserve"> 0 </w:t>
      </w:r>
      <w:r>
        <w:rPr>
          <w:b/>
          <w:bCs/>
          <w:sz w:val="21"/>
          <w:szCs w:val="21"/>
          <w:highlight w:val="none"/>
        </w:rPr>
        <w:t>)</w:t>
      </w:r>
      <w:r>
        <w:rPr>
          <w:rFonts w:hint="eastAsia"/>
          <w:b/>
          <w:bCs/>
          <w:sz w:val="21"/>
          <w:szCs w:val="21"/>
          <w:highlight w:val="none"/>
        </w:rPr>
        <w:t>个严重不符合，</w:t>
      </w:r>
      <w:r>
        <w:rPr>
          <w:rFonts w:hint="eastAsia"/>
          <w:b/>
          <w:bCs/>
          <w:sz w:val="21"/>
          <w:szCs w:val="21"/>
          <w:highlight w:val="none"/>
          <w:lang w:eastAsia="zh-CN"/>
        </w:rPr>
        <w:t>■</w:t>
      </w:r>
      <w:r>
        <w:rPr>
          <w:rFonts w:hint="eastAsia"/>
          <w:b/>
          <w:bCs/>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w:t>
      </w:r>
      <w:r>
        <w:rPr>
          <w:b/>
          <w:bCs/>
          <w:sz w:val="21"/>
          <w:szCs w:val="21"/>
          <w:highlight w:val="none"/>
        </w:rPr>
        <w:t>OHSMS (    )</w:t>
      </w:r>
      <w:r>
        <w:rPr>
          <w:rFonts w:hint="eastAsia"/>
          <w:b/>
          <w:bCs/>
          <w:sz w:val="21"/>
          <w:szCs w:val="21"/>
          <w:highlight w:val="none"/>
        </w:rPr>
        <w:t>个一般不符合，</w:t>
      </w:r>
      <w:r>
        <w:rPr>
          <w:b/>
          <w:bCs/>
          <w:sz w:val="21"/>
          <w:szCs w:val="21"/>
          <w:highlight w:val="none"/>
        </w:rPr>
        <w:t>(    )</w:t>
      </w:r>
      <w:r>
        <w:rPr>
          <w:rFonts w:hint="eastAsia"/>
          <w:b/>
          <w:bCs/>
          <w:sz w:val="21"/>
          <w:szCs w:val="21"/>
          <w:highlight w:val="none"/>
        </w:rPr>
        <w:t>个严重不符合，□验证合格□仍有问题审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bookmarkStart w:id="29" w:name="_GoBack"/>
      <w:bookmarkEnd w:id="29"/>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4384" behindDoc="0" locked="0" layoutInCell="1" allowOverlap="1">
            <wp:simplePos x="0" y="0"/>
            <wp:positionH relativeFrom="column">
              <wp:posOffset>1187450</wp:posOffset>
            </wp:positionH>
            <wp:positionV relativeFrom="paragraph">
              <wp:posOffset>18415</wp:posOffset>
            </wp:positionV>
            <wp:extent cx="469900" cy="486410"/>
            <wp:effectExtent l="0" t="0" r="2540" b="127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pic:cNvPicPr>
                  </pic:nvPicPr>
                  <pic:blipFill>
                    <a:blip r:embed="rId6"/>
                    <a:stretch>
                      <a:fillRect/>
                    </a:stretch>
                  </pic:blipFill>
                  <pic:spPr>
                    <a:xfrm>
                      <a:off x="0" y="0"/>
                      <a:ext cx="469900" cy="486410"/>
                    </a:xfrm>
                    <a:prstGeom prst="rect">
                      <a:avLst/>
                    </a:prstGeom>
                    <a:noFill/>
                    <a:ln>
                      <a:noFill/>
                    </a:ln>
                  </pic:spPr>
                </pic:pic>
              </a:graphicData>
            </a:graphic>
          </wp:anchor>
        </w:drawing>
      </w: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1C2E7E"/>
    <w:rsid w:val="25F5057F"/>
    <w:rsid w:val="2E37557D"/>
    <w:rsid w:val="419B4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2021-05-17T05:00:35Z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1A3CD930C02A470989003645513D6870</vt:lpwstr>
  </property>
</Properties>
</file>