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08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8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管理层/安全事务代表</w:t>
            </w:r>
            <w:r>
              <w:rPr>
                <w:sz w:val="24"/>
                <w:szCs w:val="24"/>
              </w:rPr>
              <w:t xml:space="preserve">    </w:t>
            </w:r>
            <w:r>
              <w:rPr>
                <w:rFonts w:hint="eastAsia"/>
                <w:sz w:val="24"/>
                <w:szCs w:val="24"/>
              </w:rPr>
              <w:t>主管领导：</w:t>
            </w:r>
            <w:r>
              <w:rPr>
                <w:rFonts w:hint="eastAsia"/>
                <w:sz w:val="24"/>
                <w:szCs w:val="24"/>
                <w:lang w:val="en-US" w:eastAsia="zh-CN"/>
              </w:rPr>
              <w:t>徐培、聂斌华</w:t>
            </w:r>
            <w:r>
              <w:rPr>
                <w:sz w:val="24"/>
                <w:szCs w:val="24"/>
              </w:rPr>
              <w:t xml:space="preserve">    </w:t>
            </w:r>
            <w:r>
              <w:rPr>
                <w:rFonts w:hint="eastAsia"/>
                <w:sz w:val="24"/>
                <w:szCs w:val="24"/>
              </w:rPr>
              <w:t>陪同人员：</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0" w:type="dxa"/>
            <w:vMerge w:val="continue"/>
            <w:vAlign w:val="center"/>
          </w:tcPr>
          <w:p/>
        </w:tc>
        <w:tc>
          <w:tcPr>
            <w:tcW w:w="108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褚敏杰</w:t>
            </w:r>
            <w:r>
              <w:rPr>
                <w:rFonts w:hint="eastAsia"/>
                <w:sz w:val="24"/>
                <w:szCs w:val="24"/>
              </w:rPr>
              <w:t xml:space="preserve"> </w:t>
            </w:r>
            <w:r>
              <w:rPr>
                <w:sz w:val="24"/>
                <w:szCs w:val="24"/>
              </w:rPr>
              <w:t xml:space="preserve">                  </w:t>
            </w:r>
            <w:r>
              <w:rPr>
                <w:rFonts w:hint="eastAsia"/>
                <w:sz w:val="24"/>
                <w:szCs w:val="24"/>
              </w:rPr>
              <w:t>审核时间：</w:t>
            </w:r>
            <w:r>
              <w:rPr>
                <w:rFonts w:hint="eastAsia"/>
                <w:sz w:val="24"/>
                <w:szCs w:val="24"/>
                <w:lang w:val="en-US" w:eastAsia="zh-CN"/>
              </w:rPr>
              <w:t>2021.5.27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0" w:type="dxa"/>
            <w:vMerge w:val="continue"/>
            <w:vAlign w:val="center"/>
          </w:tcPr>
          <w:p/>
        </w:tc>
        <w:tc>
          <w:tcPr>
            <w:tcW w:w="1080" w:type="dxa"/>
            <w:vMerge w:val="continue"/>
            <w:vAlign w:val="center"/>
          </w:tcPr>
          <w:p/>
        </w:tc>
        <w:tc>
          <w:tcPr>
            <w:tcW w:w="10004" w:type="dxa"/>
            <w:vAlign w:val="center"/>
          </w:tcPr>
          <w:p>
            <w:pPr>
              <w:rPr>
                <w:rFonts w:hint="eastAsia"/>
                <w:sz w:val="24"/>
                <w:szCs w:val="24"/>
              </w:rPr>
            </w:pPr>
            <w:r>
              <w:rPr>
                <w:rFonts w:hint="eastAsia"/>
                <w:sz w:val="24"/>
                <w:szCs w:val="24"/>
              </w:rPr>
              <w:t xml:space="preserve">审核条款：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b w:val="0"/>
                <w:bCs w:val="0"/>
                <w:sz w:val="21"/>
                <w:szCs w:val="21"/>
              </w:rPr>
            </w:pPr>
            <w:r>
              <w:rPr>
                <w:rFonts w:hint="eastAsia" w:ascii="宋体" w:hAnsi="宋体"/>
                <w:b w:val="0"/>
                <w:bCs w:val="0"/>
                <w:sz w:val="21"/>
                <w:szCs w:val="21"/>
              </w:rPr>
              <w:t>EO:4.1理解组织及其环境、4.2理解相关方的需求和期望、4.3 确定管理体系的范围、4.4环境安全管理体系及其过程、5.1领导作用和承诺、5.2环境安全方针、5.3组织的岗位、职责和权限、6.1应对风险和机遇的措施、6.2环境安全目标及其实现的策划、</w:t>
            </w:r>
            <w:r>
              <w:rPr>
                <w:rFonts w:hint="eastAsia" w:ascii="宋体" w:hAnsi="宋体"/>
                <w:b w:val="0"/>
                <w:bCs w:val="0"/>
                <w:sz w:val="21"/>
                <w:szCs w:val="21"/>
                <w:lang w:val="en-US" w:eastAsia="zh-CN"/>
              </w:rPr>
              <w:t>7.4沟通、</w:t>
            </w:r>
            <w:r>
              <w:rPr>
                <w:rFonts w:hint="eastAsia" w:ascii="宋体" w:hAnsi="宋体"/>
                <w:b w:val="0"/>
                <w:bCs w:val="0"/>
                <w:sz w:val="21"/>
                <w:szCs w:val="21"/>
              </w:rPr>
              <w:t>9.3管理评审、10.1改进、10.3持续改进</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宋体" w:hAnsi="宋体" w:eastAsia="宋体"/>
                <w:b w:val="0"/>
                <w:bCs w:val="0"/>
                <w:sz w:val="21"/>
                <w:szCs w:val="21"/>
                <w:lang w:val="en-US" w:eastAsia="zh-CN"/>
              </w:rPr>
            </w:pPr>
            <w:r>
              <w:rPr>
                <w:rFonts w:hint="eastAsia" w:ascii="宋体" w:hAnsi="宋体"/>
                <w:b w:val="0"/>
                <w:bCs w:val="0"/>
                <w:sz w:val="21"/>
                <w:szCs w:val="21"/>
                <w:lang w:val="en-US" w:eastAsia="zh-CN"/>
              </w:rPr>
              <w:t>O：5.1.4参与和协商</w:t>
            </w:r>
          </w:p>
          <w:p>
            <w:pPr>
              <w:rPr>
                <w:rFonts w:hint="eastAsia"/>
                <w:sz w:val="24"/>
                <w:szCs w:val="24"/>
              </w:rPr>
            </w:pPr>
            <w:r>
              <w:rPr>
                <w:rFonts w:hint="eastAsia" w:ascii="宋体" w:hAnsi="宋体"/>
                <w:b w:val="0"/>
                <w:bCs w:val="0"/>
                <w:sz w:val="21"/>
                <w:szCs w:val="21"/>
              </w:rPr>
              <w:t>标准/规范/法规的执行情况、上次审核不符合项的验证、认证证书、标志的使用情况、投诉或事故、监督抽查情况、体系变动</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40" w:type="dxa"/>
          </w:tcPr>
          <w:p>
            <w:r>
              <w:rPr>
                <w:rFonts w:hint="eastAsia" w:ascii="宋体" w:hAnsi="宋体"/>
                <w:b w:val="0"/>
                <w:bCs w:val="0"/>
                <w:sz w:val="21"/>
                <w:szCs w:val="21"/>
              </w:rPr>
              <w:t>理解组织及其环境</w:t>
            </w:r>
          </w:p>
        </w:tc>
        <w:tc>
          <w:tcPr>
            <w:tcW w:w="1080" w:type="dxa"/>
          </w:tcPr>
          <w:p>
            <w:r>
              <w:rPr>
                <w:rFonts w:hint="eastAsia" w:ascii="宋体" w:hAnsi="宋体"/>
                <w:b w:val="0"/>
                <w:bCs w:val="0"/>
                <w:sz w:val="21"/>
                <w:szCs w:val="21"/>
              </w:rPr>
              <w:t>EO:4.1</w:t>
            </w:r>
          </w:p>
        </w:tc>
        <w:tc>
          <w:tcPr>
            <w:tcW w:w="10004" w:type="dxa"/>
          </w:tcPr>
          <w:p>
            <w:pPr>
              <w:spacing w:line="360" w:lineRule="auto"/>
              <w:ind w:firstLine="420" w:firstLineChars="200"/>
              <w:rPr>
                <w:rFonts w:hint="eastAsia"/>
                <w:szCs w:val="22"/>
                <w:highlight w:val="none"/>
                <w:lang w:val="zh-CN"/>
              </w:rPr>
            </w:pPr>
            <w:r>
              <w:rPr>
                <w:rFonts w:hint="eastAsia"/>
                <w:szCs w:val="22"/>
                <w:highlight w:val="none"/>
                <w:lang w:val="zh-CN"/>
              </w:rPr>
              <w:t>江西方迪科技有限公司成立于20</w:t>
            </w:r>
            <w:r>
              <w:rPr>
                <w:rFonts w:hint="eastAsia"/>
                <w:szCs w:val="22"/>
                <w:highlight w:val="none"/>
                <w:lang w:val="en-US" w:eastAsia="zh-CN"/>
              </w:rPr>
              <w:t>07</w:t>
            </w:r>
            <w:r>
              <w:rPr>
                <w:rFonts w:hint="eastAsia"/>
                <w:szCs w:val="22"/>
                <w:highlight w:val="none"/>
                <w:lang w:val="zh-CN"/>
              </w:rPr>
              <w:t>年</w:t>
            </w:r>
            <w:r>
              <w:rPr>
                <w:rFonts w:hint="eastAsia"/>
                <w:szCs w:val="22"/>
                <w:highlight w:val="none"/>
                <w:lang w:val="en-US" w:eastAsia="zh-CN"/>
              </w:rPr>
              <w:t>10</w:t>
            </w:r>
            <w:r>
              <w:rPr>
                <w:rFonts w:hint="eastAsia"/>
                <w:szCs w:val="22"/>
                <w:highlight w:val="none"/>
                <w:lang w:val="zh-CN"/>
              </w:rPr>
              <w:t>月，公司注册资金</w:t>
            </w:r>
            <w:r>
              <w:rPr>
                <w:rFonts w:hint="eastAsia"/>
                <w:szCs w:val="22"/>
                <w:highlight w:val="none"/>
                <w:lang w:val="en-US" w:eastAsia="zh-CN"/>
              </w:rPr>
              <w:t>1068</w:t>
            </w:r>
            <w:r>
              <w:rPr>
                <w:rFonts w:hint="eastAsia"/>
                <w:szCs w:val="22"/>
                <w:highlight w:val="none"/>
                <w:lang w:val="zh-CN"/>
              </w:rPr>
              <w:t>万元；</w:t>
            </w:r>
          </w:p>
          <w:p>
            <w:pPr>
              <w:spacing w:line="360" w:lineRule="auto"/>
              <w:ind w:firstLine="420" w:firstLineChars="200"/>
              <w:rPr>
                <w:rFonts w:hint="eastAsia"/>
                <w:szCs w:val="22"/>
                <w:highlight w:val="none"/>
                <w:lang w:val="zh-CN"/>
              </w:rPr>
            </w:pPr>
            <w:r>
              <w:rPr>
                <w:rFonts w:hint="eastAsia"/>
                <w:szCs w:val="22"/>
                <w:highlight w:val="none"/>
                <w:lang w:val="zh-CN"/>
              </w:rPr>
              <w:t>注册地位：江西省樟树市四特大道318号；</w:t>
            </w:r>
          </w:p>
          <w:p>
            <w:pPr>
              <w:spacing w:line="360" w:lineRule="auto"/>
              <w:ind w:firstLine="420" w:firstLineChars="200"/>
              <w:rPr>
                <w:rFonts w:hint="eastAsia"/>
                <w:color w:val="000000" w:themeColor="text1"/>
                <w:szCs w:val="21"/>
                <w:lang w:eastAsia="zh-CN"/>
                <w14:textFill>
                  <w14:solidFill>
                    <w14:schemeClr w14:val="tx1"/>
                  </w14:solidFill>
                </w14:textFill>
              </w:rPr>
            </w:pPr>
            <w:r>
              <w:rPr>
                <w:rFonts w:hint="eastAsia"/>
                <w:szCs w:val="22"/>
                <w:highlight w:val="none"/>
                <w:lang w:val="en-US" w:eastAsia="zh-CN"/>
              </w:rPr>
              <w:t>经营地址：</w:t>
            </w:r>
            <w:r>
              <w:rPr>
                <w:rFonts w:hint="eastAsia"/>
                <w:color w:val="000000" w:themeColor="text1"/>
                <w:szCs w:val="21"/>
                <w:lang w:eastAsia="zh-CN"/>
                <w14:textFill>
                  <w14:solidFill>
                    <w14:schemeClr w14:val="tx1"/>
                  </w14:solidFill>
                </w14:textFill>
              </w:rPr>
              <w:t>江西省樟树市区城北工业园清江大道6666号金属产品交易中心；</w:t>
            </w:r>
          </w:p>
          <w:p>
            <w:pPr>
              <w:spacing w:line="360" w:lineRule="auto"/>
              <w:ind w:firstLine="420" w:firstLineChars="200"/>
              <w:rPr>
                <w:rFonts w:hint="eastAsia"/>
                <w:szCs w:val="22"/>
                <w:highlight w:val="none"/>
                <w:lang w:val="zh-CN"/>
              </w:rPr>
            </w:pPr>
            <w:r>
              <w:rPr>
                <w:rFonts w:hint="eastAsia"/>
                <w:szCs w:val="22"/>
                <w:highlight w:val="none"/>
                <w:lang w:val="en-US" w:eastAsia="zh-CN"/>
              </w:rPr>
              <w:t>办公面积约1000余平方米。</w:t>
            </w:r>
          </w:p>
          <w:p>
            <w:pPr>
              <w:spacing w:line="360" w:lineRule="auto"/>
              <w:ind w:firstLine="420" w:firstLineChars="200"/>
              <w:rPr>
                <w:rFonts w:hint="default"/>
                <w:szCs w:val="22"/>
                <w:highlight w:val="none"/>
                <w:lang w:val="en-US" w:eastAsia="zh-CN"/>
              </w:rPr>
            </w:pPr>
            <w:r>
              <w:rPr>
                <w:rFonts w:hint="eastAsia"/>
                <w:szCs w:val="22"/>
                <w:highlight w:val="none"/>
                <w:lang w:val="en-US" w:eastAsia="zh-CN"/>
              </w:rPr>
              <w:t>营业执照经营范围：智能密集架、档案架、智能书架、普通寄存柜、智能寄存柜、智能枪弹柜、数字化档案馆、档案管理软件、图书管理软件、档案室智能环境控制系统研发、生产、销售及技术服务等；覆盖了认证范围。</w:t>
            </w:r>
          </w:p>
          <w:p>
            <w:pPr>
              <w:spacing w:line="360" w:lineRule="auto"/>
              <w:ind w:firstLine="420" w:firstLineChars="200"/>
              <w:rPr>
                <w:rFonts w:hint="eastAsia"/>
                <w:szCs w:val="22"/>
                <w:highlight w:val="none"/>
                <w:lang w:val="zh-CN"/>
              </w:rPr>
            </w:pPr>
            <w:r>
              <w:rPr>
                <w:rFonts w:hint="eastAsia"/>
                <w:szCs w:val="22"/>
                <w:highlight w:val="none"/>
                <w:lang w:val="zh-CN"/>
              </w:rPr>
              <w:t>公司现有员工</w:t>
            </w:r>
            <w:r>
              <w:rPr>
                <w:rFonts w:hint="eastAsia"/>
                <w:szCs w:val="22"/>
                <w:highlight w:val="none"/>
                <w:lang w:val="en-US" w:eastAsia="zh-CN"/>
              </w:rPr>
              <w:t>20</w:t>
            </w:r>
            <w:r>
              <w:rPr>
                <w:rFonts w:hint="eastAsia"/>
                <w:szCs w:val="22"/>
                <w:highlight w:val="none"/>
                <w:lang w:val="zh-CN"/>
              </w:rPr>
              <w:t>人，</w:t>
            </w:r>
            <w:r>
              <w:rPr>
                <w:rFonts w:hint="eastAsia"/>
                <w:szCs w:val="22"/>
                <w:highlight w:val="none"/>
                <w:lang w:val="en-US" w:eastAsia="zh-CN"/>
              </w:rPr>
              <w:t>其中高层管理人员2人、</w:t>
            </w:r>
            <w:r>
              <w:rPr>
                <w:rFonts w:hint="eastAsia"/>
                <w:szCs w:val="22"/>
                <w:highlight w:val="none"/>
                <w:lang w:val="zh-CN"/>
              </w:rPr>
              <w:t>技术人员</w:t>
            </w:r>
            <w:r>
              <w:rPr>
                <w:rFonts w:hint="eastAsia"/>
                <w:szCs w:val="22"/>
                <w:highlight w:val="none"/>
                <w:lang w:val="en-US" w:eastAsia="zh-CN"/>
              </w:rPr>
              <w:t>4</w:t>
            </w:r>
            <w:r>
              <w:rPr>
                <w:rFonts w:hint="eastAsia"/>
                <w:szCs w:val="22"/>
                <w:highlight w:val="none"/>
                <w:lang w:val="zh-CN"/>
              </w:rPr>
              <w:t>人；</w:t>
            </w:r>
          </w:p>
          <w:p>
            <w:pPr>
              <w:spacing w:line="360" w:lineRule="auto"/>
              <w:ind w:firstLine="420" w:firstLineChars="200"/>
              <w:rPr>
                <w:rFonts w:hint="eastAsia"/>
                <w:szCs w:val="22"/>
                <w:highlight w:val="none"/>
                <w:lang w:val="zh-CN"/>
              </w:rPr>
            </w:pPr>
            <w:r>
              <w:rPr>
                <w:rFonts w:hint="eastAsia"/>
                <w:szCs w:val="22"/>
                <w:highlight w:val="none"/>
                <w:lang w:val="zh-CN"/>
              </w:rPr>
              <w:t>主要设备有：开发软件、数字示波器、信号发生器、芯片烧写器、工控机、电脑、专业级电路板故障检测仪、西门子压力测试仪表、专业级电路板故障检测仪、办公桌椅</w:t>
            </w:r>
            <w:r>
              <w:rPr>
                <w:rFonts w:hint="eastAsia"/>
                <w:szCs w:val="22"/>
                <w:highlight w:val="none"/>
                <w:lang w:val="en-US" w:eastAsia="zh-CN"/>
              </w:rPr>
              <w:t>等</w:t>
            </w:r>
            <w:r>
              <w:rPr>
                <w:rFonts w:hint="eastAsia"/>
                <w:szCs w:val="22"/>
                <w:highlight w:val="none"/>
                <w:lang w:val="zh-CN"/>
              </w:rPr>
              <w:t>；</w:t>
            </w:r>
          </w:p>
          <w:p>
            <w:pPr>
              <w:spacing w:line="360" w:lineRule="auto"/>
              <w:ind w:firstLine="420" w:firstLineChars="200"/>
              <w:rPr>
                <w:rFonts w:hint="eastAsia"/>
                <w:szCs w:val="22"/>
                <w:highlight w:val="none"/>
                <w:lang w:val="zh-CN" w:eastAsia="zh-CN"/>
              </w:rPr>
            </w:pPr>
            <w:r>
              <w:rPr>
                <w:rFonts w:hint="eastAsia"/>
                <w:szCs w:val="22"/>
                <w:highlight w:val="none"/>
                <w:lang w:val="zh-CN" w:eastAsia="zh-CN"/>
              </w:rPr>
              <w:t>环保设施：灭火器、消防器材、隔音、绿化等。</w:t>
            </w:r>
          </w:p>
          <w:p>
            <w:pPr>
              <w:spacing w:line="360" w:lineRule="auto"/>
              <w:ind w:firstLine="420" w:firstLineChars="200"/>
              <w:rPr>
                <w:rFonts w:hint="eastAsia"/>
                <w:szCs w:val="22"/>
                <w:highlight w:val="none"/>
                <w:lang w:val="en-US" w:eastAsia="zh-CN"/>
              </w:rPr>
            </w:pPr>
            <w:r>
              <w:rPr>
                <w:rFonts w:hint="eastAsia"/>
                <w:szCs w:val="22"/>
                <w:highlight w:val="none"/>
                <w:lang w:val="zh-CN" w:eastAsia="zh-CN"/>
              </w:rPr>
              <w:t>职业健康安全设施：安全设施配置:灭火器、消防器材、标识牌等</w:t>
            </w:r>
          </w:p>
          <w:p>
            <w:pPr>
              <w:spacing w:line="360" w:lineRule="auto"/>
              <w:ind w:firstLine="420" w:firstLineChars="200"/>
              <w:rPr>
                <w:rFonts w:hint="eastAsia"/>
                <w:highlight w:val="none"/>
              </w:rPr>
            </w:pPr>
            <w:r>
              <w:rPr>
                <w:rFonts w:hint="eastAsia"/>
                <w:highlight w:val="none"/>
              </w:rPr>
              <w:t>公司设置有行政部</w:t>
            </w:r>
            <w:r>
              <w:rPr>
                <w:rFonts w:hint="eastAsia"/>
                <w:highlight w:val="none"/>
                <w:lang w:eastAsia="zh-CN"/>
              </w:rPr>
              <w:t>、</w:t>
            </w:r>
            <w:r>
              <w:rPr>
                <w:rFonts w:hint="eastAsia"/>
                <w:highlight w:val="none"/>
              </w:rPr>
              <w:t>业务部</w:t>
            </w:r>
            <w:r>
              <w:rPr>
                <w:rFonts w:hint="eastAsia"/>
                <w:highlight w:val="none"/>
                <w:lang w:eastAsia="zh-CN"/>
              </w:rPr>
              <w:t>、</w:t>
            </w:r>
            <w:r>
              <w:rPr>
                <w:rFonts w:hint="eastAsia"/>
                <w:highlight w:val="none"/>
              </w:rPr>
              <w:t>研发部</w:t>
            </w:r>
            <w:r>
              <w:rPr>
                <w:rFonts w:hint="eastAsia"/>
                <w:highlight w:val="none"/>
                <w:lang w:eastAsia="zh-CN"/>
              </w:rPr>
              <w:t>、</w:t>
            </w:r>
            <w:r>
              <w:rPr>
                <w:rFonts w:hint="eastAsia"/>
                <w:highlight w:val="none"/>
              </w:rPr>
              <w:t>财务部。</w:t>
            </w:r>
          </w:p>
          <w:p>
            <w:pPr>
              <w:spacing w:line="360" w:lineRule="auto"/>
              <w:ind w:firstLine="420" w:firstLineChars="200"/>
              <w:rPr>
                <w:rFonts w:hint="eastAsia"/>
                <w:highlight w:val="none"/>
              </w:rPr>
            </w:pPr>
            <w:r>
              <w:rPr>
                <w:rFonts w:hint="eastAsia"/>
                <w:highlight w:val="none"/>
              </w:rPr>
              <w:t>公司</w:t>
            </w:r>
            <w:r>
              <w:rPr>
                <w:rFonts w:hint="eastAsia"/>
                <w:highlight w:val="none"/>
                <w:lang w:val="en-US" w:eastAsia="zh-CN"/>
              </w:rPr>
              <w:t>在管理手册中</w:t>
            </w:r>
            <w:r>
              <w:rPr>
                <w:rFonts w:hint="eastAsia"/>
                <w:highlight w:val="none"/>
              </w:rPr>
              <w:t>对公司地理位置、国内市场地位、法律法规要求、公司内部文化观价值观、内外部环境变化等作出描述，</w:t>
            </w:r>
            <w:r>
              <w:rPr>
                <w:rFonts w:hint="eastAsia"/>
                <w:highlight w:val="none"/>
                <w:lang w:val="en-US" w:eastAsia="zh-CN"/>
              </w:rPr>
              <w:t>并持续关注</w:t>
            </w:r>
            <w:r>
              <w:rPr>
                <w:rFonts w:hint="eastAsia"/>
                <w:highlight w:val="none"/>
              </w:rPr>
              <w:t>如：</w:t>
            </w:r>
          </w:p>
          <w:p>
            <w:pPr>
              <w:spacing w:line="360" w:lineRule="auto"/>
              <w:ind w:firstLine="420" w:firstLineChars="200"/>
              <w:rPr>
                <w:rFonts w:hint="eastAsia"/>
                <w:highlight w:val="none"/>
              </w:rPr>
            </w:pPr>
            <w:r>
              <w:rPr>
                <w:rFonts w:hint="eastAsia"/>
                <w:highlight w:val="none"/>
              </w:rPr>
              <w:t>外部因素——国际经济政治形势、</w:t>
            </w:r>
            <w:r>
              <w:rPr>
                <w:rFonts w:hint="eastAsia"/>
                <w:highlight w:val="none"/>
                <w:lang w:val="en-US" w:eastAsia="zh-CN"/>
              </w:rPr>
              <w:t>国家政策</w:t>
            </w:r>
            <w:r>
              <w:rPr>
                <w:rFonts w:hint="eastAsia"/>
                <w:highlight w:val="none"/>
              </w:rPr>
              <w:t>变动、竞争对手、客户需求的变化、新技术的采用等；</w:t>
            </w:r>
          </w:p>
          <w:p>
            <w:pPr>
              <w:spacing w:line="360" w:lineRule="auto"/>
              <w:ind w:firstLine="420" w:firstLineChars="200"/>
              <w:rPr>
                <w:rFonts w:hint="eastAsia"/>
                <w:highlight w:val="none"/>
              </w:rPr>
            </w:pPr>
            <w:r>
              <w:rPr>
                <w:rFonts w:hint="eastAsia"/>
                <w:highlight w:val="none"/>
              </w:rPr>
              <w:t>内部因素</w:t>
            </w:r>
            <w:r>
              <w:rPr>
                <w:rFonts w:hint="eastAsia"/>
                <w:highlight w:val="none"/>
                <w:lang w:eastAsia="zh-CN"/>
              </w:rPr>
              <w:t>——</w:t>
            </w:r>
            <w:r>
              <w:rPr>
                <w:rFonts w:hint="eastAsia"/>
                <w:highlight w:val="none"/>
              </w:rPr>
              <w:t>公司文化、内部管理机制的建立、人员稳定性、员工年龄、经验等；</w:t>
            </w:r>
          </w:p>
          <w:p>
            <w:pPr>
              <w:spacing w:line="360" w:lineRule="auto"/>
              <w:ind w:firstLine="420" w:firstLineChars="200"/>
              <w:rPr>
                <w:rFonts w:hint="eastAsia"/>
                <w:highlight w:val="none"/>
              </w:rPr>
            </w:pPr>
            <w:r>
              <w:rPr>
                <w:rFonts w:hint="eastAsia"/>
                <w:highlight w:val="none"/>
              </w:rPr>
              <w:t>这些因素包括了需要考虑的</w:t>
            </w:r>
            <w:r>
              <w:rPr>
                <w:rFonts w:hint="eastAsia"/>
              </w:rPr>
              <w:t>影响</w:t>
            </w:r>
            <w:r>
              <w:rPr>
                <w:rFonts w:hint="eastAsia"/>
                <w:lang w:val="en-US" w:eastAsia="zh-CN"/>
              </w:rPr>
              <w:t>公司</w:t>
            </w:r>
            <w:r>
              <w:rPr>
                <w:rFonts w:hint="eastAsia"/>
              </w:rPr>
              <w:t>实现</w:t>
            </w:r>
            <w:r>
              <w:rPr>
                <w:rFonts w:hint="eastAsia"/>
                <w:lang w:val="en-US" w:eastAsia="zh-CN"/>
              </w:rPr>
              <w:t>环境保护、</w:t>
            </w:r>
            <w:r>
              <w:rPr>
                <w:rFonts w:hint="eastAsia"/>
              </w:rPr>
              <w:t>职业健康安全预期结果的能力的内部</w:t>
            </w:r>
            <w:r>
              <w:t>和</w:t>
            </w:r>
            <w:r>
              <w:rPr>
                <w:rFonts w:hint="eastAsia"/>
              </w:rPr>
              <w:t>外部</w:t>
            </w:r>
            <w:r>
              <w:rPr>
                <w:rFonts w:hint="eastAsia"/>
                <w:lang w:val="en-US" w:eastAsia="zh-CN"/>
              </w:rPr>
              <w:t>的、</w:t>
            </w:r>
            <w:r>
              <w:rPr>
                <w:rFonts w:hint="eastAsia"/>
                <w:highlight w:val="none"/>
              </w:rPr>
              <w:t>正面和负面</w:t>
            </w:r>
            <w:r>
              <w:rPr>
                <w:rFonts w:hint="eastAsia"/>
                <w:highlight w:val="none"/>
                <w:lang w:val="en-US" w:eastAsia="zh-CN"/>
              </w:rPr>
              <w:t>的</w:t>
            </w:r>
            <w:r>
              <w:rPr>
                <w:rFonts w:hint="eastAsia"/>
                <w:highlight w:val="none"/>
              </w:rPr>
              <w:t>因素或条件。</w:t>
            </w:r>
          </w:p>
          <w:p>
            <w:pPr>
              <w:spacing w:line="360" w:lineRule="auto"/>
              <w:ind w:firstLine="420" w:firstLineChars="200"/>
            </w:pPr>
            <w:r>
              <w:rPr>
                <w:rFonts w:hint="eastAsia"/>
                <w:highlight w:val="none"/>
              </w:rPr>
              <w:t>公司每年根据搜集到的信息并结合公司自身业务运作情况进行分析，通过分析对这些内部和外部因素的相关信息进行监视和评审以确保其充分和适宜。</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040" w:type="dxa"/>
            <w:vAlign w:val="center"/>
          </w:tcPr>
          <w:p>
            <w:pPr>
              <w:spacing w:line="360" w:lineRule="auto"/>
              <w:rPr>
                <w:rFonts w:ascii="楷体" w:hAnsi="楷体" w:eastAsia="楷体" w:cs="Times New Roman"/>
                <w:b/>
                <w:kern w:val="2"/>
                <w:sz w:val="24"/>
                <w:szCs w:val="24"/>
                <w:lang w:val="en-US" w:eastAsia="zh-CN" w:bidi="ar-SA"/>
              </w:rPr>
            </w:pPr>
            <w:r>
              <w:rPr>
                <w:rFonts w:hint="eastAsia" w:ascii="Times New Roman" w:hAnsi="Times New Roman" w:eastAsia="宋体" w:cs="Times New Roman"/>
                <w:szCs w:val="22"/>
                <w:highlight w:val="none"/>
              </w:rPr>
              <w:t>理解相关方的需求和期望</w:t>
            </w:r>
          </w:p>
        </w:tc>
        <w:tc>
          <w:tcPr>
            <w:tcW w:w="1080" w:type="dxa"/>
            <w:vAlign w:val="center"/>
          </w:tcPr>
          <w:p>
            <w:pPr>
              <w:spacing w:line="360" w:lineRule="auto"/>
              <w:rPr>
                <w:rFonts w:ascii="楷体" w:hAnsi="楷体" w:eastAsia="楷体" w:cs="Times New Roman"/>
                <w:kern w:val="2"/>
                <w:sz w:val="24"/>
                <w:szCs w:val="24"/>
                <w:lang w:val="en-US" w:eastAsia="zh-CN" w:bidi="ar-SA"/>
              </w:rPr>
            </w:pPr>
            <w:r>
              <w:rPr>
                <w:rFonts w:hint="eastAsia" w:ascii="宋体" w:hAnsi="宋体" w:eastAsia="宋体" w:cs="Times New Roman"/>
                <w:b w:val="0"/>
                <w:bCs w:val="0"/>
                <w:sz w:val="21"/>
                <w:szCs w:val="21"/>
              </w:rPr>
              <w:t>EO：4.2</w:t>
            </w:r>
          </w:p>
        </w:tc>
        <w:tc>
          <w:tcPr>
            <w:tcW w:w="10004" w:type="dxa"/>
            <w:vAlign w:val="center"/>
          </w:tcPr>
          <w:p>
            <w:pPr>
              <w:spacing w:line="360" w:lineRule="auto"/>
              <w:ind w:firstLine="420" w:firstLineChars="200"/>
              <w:rPr>
                <w:rFonts w:hint="eastAsia" w:ascii="Times New Roman" w:hAnsi="Times New Roman" w:eastAsia="宋体" w:cs="Times New Roman"/>
                <w:szCs w:val="22"/>
                <w:highlight w:val="none"/>
              </w:rPr>
            </w:pPr>
            <w:r>
              <w:rPr>
                <w:rFonts w:hint="eastAsia" w:ascii="Times New Roman" w:hAnsi="Times New Roman" w:eastAsia="宋体" w:cs="Times New Roman"/>
                <w:szCs w:val="22"/>
                <w:highlight w:val="none"/>
              </w:rPr>
              <w:t>相关方包括顾客、股东、员工、供应商、竞争对手、社会团体等。相关方期望和要求为价格、安全性、合同协议、行业规范标准等。</w:t>
            </w:r>
          </w:p>
          <w:p>
            <w:pPr>
              <w:spacing w:line="360" w:lineRule="auto"/>
              <w:ind w:firstLine="420" w:firstLineChars="200"/>
              <w:rPr>
                <w:rFonts w:hint="eastAsia" w:ascii="Times New Roman" w:hAnsi="Times New Roman" w:eastAsia="宋体" w:cs="Times New Roman"/>
                <w:szCs w:val="22"/>
                <w:highlight w:val="none"/>
              </w:rPr>
            </w:pPr>
            <w:r>
              <w:rPr>
                <w:rFonts w:hint="eastAsia" w:ascii="Times New Roman" w:hAnsi="Times New Roman" w:eastAsia="宋体" w:cs="Times New Roman"/>
                <w:szCs w:val="22"/>
                <w:highlight w:val="none"/>
              </w:rPr>
              <w:t>识别的方法为：主动调查、水平对比等。</w:t>
            </w:r>
          </w:p>
          <w:p>
            <w:pPr>
              <w:spacing w:line="360" w:lineRule="auto"/>
              <w:ind w:firstLine="420" w:firstLineChars="200"/>
              <w:rPr>
                <w:rFonts w:ascii="楷体" w:hAnsi="楷体" w:eastAsia="楷体" w:cs="Times New Roman"/>
                <w:kern w:val="2"/>
                <w:sz w:val="24"/>
                <w:szCs w:val="24"/>
                <w:lang w:val="en-US" w:eastAsia="zh-CN" w:bidi="ar-SA"/>
              </w:rPr>
            </w:pPr>
            <w:r>
              <w:rPr>
                <w:rFonts w:hint="eastAsia" w:ascii="Times New Roman" w:hAnsi="Times New Roman" w:eastAsia="宋体" w:cs="Times New Roman"/>
                <w:szCs w:val="22"/>
                <w:highlight w:val="none"/>
              </w:rPr>
              <w:t>基本识别了与组织管理体系有关的相关方和要求</w:t>
            </w:r>
            <w:r>
              <w:rPr>
                <w:rFonts w:hint="eastAsia" w:ascii="Times New Roman" w:hAnsi="Times New Roman" w:eastAsia="宋体" w:cs="Times New Roman"/>
                <w:szCs w:val="22"/>
                <w:highlight w:val="none"/>
                <w:lang w:val="zh-CN"/>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040" w:type="dxa"/>
            <w:vAlign w:val="top"/>
          </w:tcPr>
          <w:p>
            <w:pPr>
              <w:rPr>
                <w:rFonts w:hint="eastAsia" w:ascii="宋体" w:hAnsi="宋体" w:cs="Arial"/>
                <w:spacing w:val="-6"/>
                <w:sz w:val="21"/>
                <w:szCs w:val="21"/>
              </w:rPr>
            </w:pPr>
            <w:r>
              <w:rPr>
                <w:rFonts w:hint="eastAsia" w:ascii="宋体" w:hAnsi="宋体" w:cs="Arial"/>
                <w:spacing w:val="-6"/>
                <w:sz w:val="21"/>
                <w:szCs w:val="21"/>
              </w:rPr>
              <w:t>应对风险和机遇的措施</w:t>
            </w:r>
          </w:p>
          <w:p>
            <w:pPr>
              <w:rPr>
                <w:rFonts w:hint="eastAsia" w:ascii="宋体" w:hAnsi="宋体" w:cs="Arial"/>
                <w:spacing w:val="-6"/>
                <w:sz w:val="21"/>
                <w:szCs w:val="21"/>
              </w:rPr>
            </w:pPr>
            <w:r>
              <w:rPr>
                <w:rFonts w:hint="eastAsia" w:ascii="宋体" w:hAnsi="宋体" w:cs="Arial"/>
                <w:spacing w:val="-6"/>
                <w:sz w:val="21"/>
                <w:szCs w:val="21"/>
              </w:rPr>
              <w:t>确定管理体系的范围</w:t>
            </w:r>
          </w:p>
          <w:p>
            <w:pPr>
              <w:rPr>
                <w:rFonts w:hint="eastAsia" w:ascii="宋体" w:hAnsi="宋体" w:cs="Arial"/>
                <w:spacing w:val="-6"/>
                <w:sz w:val="21"/>
                <w:szCs w:val="21"/>
              </w:rPr>
            </w:pPr>
            <w:r>
              <w:rPr>
                <w:rFonts w:hint="eastAsia" w:ascii="宋体" w:hAnsi="宋体" w:cs="Arial"/>
                <w:spacing w:val="-6"/>
                <w:sz w:val="21"/>
                <w:szCs w:val="21"/>
              </w:rPr>
              <w:t>管理体系及其过程</w:t>
            </w:r>
          </w:p>
          <w:p>
            <w:pPr>
              <w:rPr>
                <w:rFonts w:hint="eastAsia" w:ascii="宋体" w:hAnsi="宋体" w:eastAsia="宋体" w:cs="Arial"/>
                <w:spacing w:val="-6"/>
                <w:kern w:val="2"/>
                <w:sz w:val="21"/>
                <w:szCs w:val="21"/>
                <w:lang w:val="en-US" w:eastAsia="zh-CN" w:bidi="ar-SA"/>
              </w:rPr>
            </w:pPr>
          </w:p>
        </w:tc>
        <w:tc>
          <w:tcPr>
            <w:tcW w:w="1080" w:type="dxa"/>
            <w:vAlign w:val="top"/>
          </w:tcPr>
          <w:p>
            <w:pPr>
              <w:jc w:val="center"/>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EO:6.1</w:t>
            </w:r>
          </w:p>
          <w:p>
            <w:pPr>
              <w:jc w:val="center"/>
              <w:rPr>
                <w:rFonts w:hint="eastAsia" w:ascii="宋体" w:hAnsi="宋体" w:cs="Arial"/>
                <w:spacing w:val="-6"/>
                <w:sz w:val="21"/>
                <w:szCs w:val="21"/>
              </w:rPr>
            </w:pPr>
            <w:r>
              <w:rPr>
                <w:rFonts w:hint="eastAsia" w:ascii="宋体" w:hAnsi="宋体" w:cs="Arial"/>
                <w:spacing w:val="-6"/>
                <w:sz w:val="21"/>
                <w:szCs w:val="21"/>
              </w:rPr>
              <w:t>4.3</w:t>
            </w:r>
          </w:p>
          <w:p>
            <w:pPr>
              <w:jc w:val="center"/>
              <w:rPr>
                <w:rFonts w:hint="eastAsia" w:ascii="宋体" w:hAnsi="宋体" w:cs="Arial"/>
                <w:spacing w:val="-6"/>
                <w:sz w:val="21"/>
                <w:szCs w:val="21"/>
              </w:rPr>
            </w:pPr>
            <w:r>
              <w:rPr>
                <w:rFonts w:hint="eastAsia" w:ascii="宋体" w:hAnsi="宋体" w:cs="Arial"/>
                <w:spacing w:val="-6"/>
                <w:sz w:val="21"/>
                <w:szCs w:val="21"/>
              </w:rPr>
              <w:t>4.4</w:t>
            </w:r>
          </w:p>
          <w:p>
            <w:pPr>
              <w:jc w:val="center"/>
              <w:rPr>
                <w:rFonts w:hint="default" w:ascii="宋体" w:hAnsi="宋体" w:eastAsia="宋体" w:cs="Arial"/>
                <w:spacing w:val="-6"/>
                <w:kern w:val="2"/>
                <w:sz w:val="21"/>
                <w:szCs w:val="21"/>
                <w:lang w:val="en-US" w:eastAsia="zh-CN" w:bidi="ar-SA"/>
              </w:rPr>
            </w:pPr>
          </w:p>
        </w:tc>
        <w:tc>
          <w:tcPr>
            <w:tcW w:w="10004" w:type="dxa"/>
            <w:vAlign w:val="top"/>
          </w:tcPr>
          <w:p>
            <w:pPr>
              <w:spacing w:line="360" w:lineRule="auto"/>
              <w:ind w:firstLine="420" w:firstLineChars="200"/>
              <w:rPr>
                <w:rFonts w:hint="eastAsia" w:ascii="Times New Roman" w:hAnsi="Times New Roman" w:eastAsia="宋体" w:cs="Times New Roman"/>
                <w:szCs w:val="22"/>
                <w:highlight w:val="none"/>
              </w:rPr>
            </w:pPr>
            <w:r>
              <w:rPr>
                <w:rFonts w:hint="eastAsia" w:ascii="Times New Roman" w:hAnsi="Times New Roman" w:eastAsia="宋体" w:cs="Times New Roman"/>
                <w:szCs w:val="22"/>
                <w:highlight w:val="none"/>
              </w:rPr>
              <w:t>基于对4.1和4.2的考虑，</w:t>
            </w:r>
            <w:r>
              <w:rPr>
                <w:rFonts w:hint="eastAsia" w:ascii="Times New Roman" w:hAnsi="Times New Roman" w:eastAsia="宋体" w:cs="Times New Roman"/>
                <w:szCs w:val="22"/>
                <w:highlight w:val="none"/>
                <w:lang w:val="en-US" w:eastAsia="zh-CN"/>
              </w:rPr>
              <w:t>公司管理层</w:t>
            </w:r>
            <w:r>
              <w:rPr>
                <w:rFonts w:hint="eastAsia" w:ascii="Times New Roman" w:hAnsi="Times New Roman" w:eastAsia="宋体" w:cs="Times New Roman"/>
                <w:szCs w:val="22"/>
                <w:highlight w:val="none"/>
              </w:rPr>
              <w:t>分析了公司存在的风险和机遇：</w:t>
            </w:r>
          </w:p>
          <w:p>
            <w:pPr>
              <w:spacing w:line="360" w:lineRule="auto"/>
              <w:ind w:firstLine="420" w:firstLineChars="200"/>
              <w:rPr>
                <w:rFonts w:hint="eastAsia" w:ascii="Times New Roman" w:hAnsi="Times New Roman" w:eastAsia="宋体" w:cs="Times New Roman"/>
                <w:szCs w:val="22"/>
                <w:highlight w:val="none"/>
              </w:rPr>
            </w:pPr>
            <w:r>
              <w:rPr>
                <w:rFonts w:hint="eastAsia" w:ascii="Times New Roman" w:hAnsi="Times New Roman" w:eastAsia="宋体" w:cs="Times New Roman"/>
                <w:szCs w:val="22"/>
                <w:highlight w:val="none"/>
              </w:rPr>
              <w:t>机遇：</w:t>
            </w:r>
            <w:r>
              <w:rPr>
                <w:rFonts w:hint="eastAsia" w:ascii="Times New Roman" w:hAnsi="Times New Roman" w:eastAsia="宋体" w:cs="Times New Roman"/>
                <w:szCs w:val="22"/>
                <w:highlight w:val="none"/>
                <w:lang w:val="en-US" w:eastAsia="zh-CN"/>
              </w:rPr>
              <w:t>随着时代的发展和国家政策的出台，信息化代表着发展方向，公司的业务市场发展将随着时代的发展变得越来越大，环境保护和职业健康的绩效随着政策的严格，将面临更多的机遇</w:t>
            </w:r>
            <w:r>
              <w:rPr>
                <w:rFonts w:hint="eastAsia" w:ascii="Times New Roman" w:hAnsi="Times New Roman" w:eastAsia="宋体" w:cs="Times New Roman"/>
                <w:szCs w:val="22"/>
                <w:highlight w:val="none"/>
              </w:rPr>
              <w:t>。</w:t>
            </w:r>
          </w:p>
          <w:p>
            <w:pPr>
              <w:spacing w:line="360" w:lineRule="auto"/>
              <w:ind w:firstLine="420" w:firstLineChars="200"/>
              <w:rPr>
                <w:rFonts w:hint="eastAsia" w:ascii="Times New Roman" w:hAnsi="Times New Roman" w:eastAsia="宋体" w:cs="Times New Roman"/>
                <w:szCs w:val="22"/>
                <w:highlight w:val="none"/>
              </w:rPr>
            </w:pPr>
            <w:r>
              <w:rPr>
                <w:rFonts w:hint="eastAsia" w:ascii="Times New Roman" w:hAnsi="Times New Roman" w:eastAsia="宋体" w:cs="Times New Roman"/>
                <w:szCs w:val="22"/>
                <w:highlight w:val="none"/>
              </w:rPr>
              <w:t>风险：</w:t>
            </w:r>
            <w:r>
              <w:rPr>
                <w:rFonts w:hint="eastAsia" w:ascii="Times New Roman" w:hAnsi="Times New Roman" w:eastAsia="宋体" w:cs="Times New Roman"/>
                <w:szCs w:val="22"/>
                <w:highlight w:val="none"/>
                <w:lang w:val="en-US" w:eastAsia="zh-CN"/>
              </w:rPr>
              <w:t>竞争的激烈，使得公司的发展面临压力，同样给公司在环境保护和职业健康安全的绩效面临压力；健康意识的提升，使得企业的投入加大</w:t>
            </w:r>
            <w:r>
              <w:rPr>
                <w:rFonts w:hint="eastAsia" w:ascii="Times New Roman" w:hAnsi="Times New Roman" w:eastAsia="宋体" w:cs="Times New Roman"/>
                <w:szCs w:val="22"/>
                <w:highlight w:val="none"/>
              </w:rPr>
              <w:t>。</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公司高层对公司内外部风险和机遇进行了分析；策划了风险和机遇应对措施；</w:t>
            </w:r>
          </w:p>
          <w:p>
            <w:pPr>
              <w:spacing w:line="360" w:lineRule="auto"/>
              <w:ind w:firstLine="420" w:firstLineChars="200"/>
              <w:rPr>
                <w:rFonts w:hint="eastAsia" w:ascii="Times New Roman" w:hAnsi="Times New Roman" w:eastAsia="宋体" w:cs="Times New Roman"/>
                <w:szCs w:val="22"/>
                <w:highlight w:val="none"/>
              </w:rPr>
            </w:pPr>
            <w:r>
              <w:rPr>
                <w:rFonts w:hint="eastAsia" w:ascii="Times New Roman" w:hAnsi="Times New Roman" w:eastAsia="宋体" w:cs="Times New Roman"/>
                <w:szCs w:val="22"/>
                <w:highlight w:val="none"/>
              </w:rPr>
              <w:t>重大环境因素：</w:t>
            </w:r>
            <w:r>
              <w:rPr>
                <w:rFonts w:hint="eastAsia" w:ascii="Times New Roman" w:hAnsi="Times New Roman" w:eastAsia="宋体" w:cs="Times New Roman"/>
                <w:szCs w:val="22"/>
                <w:highlight w:val="none"/>
                <w:lang w:val="en-US" w:eastAsia="zh-CN"/>
              </w:rPr>
              <w:t>潜在</w:t>
            </w:r>
            <w:r>
              <w:rPr>
                <w:rFonts w:hint="eastAsia" w:ascii="Times New Roman" w:hAnsi="Times New Roman" w:eastAsia="宋体" w:cs="Times New Roman"/>
                <w:szCs w:val="22"/>
                <w:highlight w:val="none"/>
              </w:rPr>
              <w:t>火灾，固废排放；</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通用措施——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制定目标、指标，编制运行控制文件，运行控制；一旦发生按相关应急预案执行。</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固（危）废——</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一般固废集中收集外售；（办公）危废以旧换新由供应商带回；</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潜在火灾——</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定期检查用电安全，配置消防器材、做好火灾预防措施；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rPr>
              <w:t>不可接受风险有：触电、潜在火灾</w:t>
            </w:r>
            <w:r>
              <w:rPr>
                <w:rFonts w:hint="eastAsia" w:ascii="Times New Roman" w:hAnsi="Times New Roman" w:eastAsia="宋体" w:cs="Times New Roman"/>
                <w:szCs w:val="22"/>
                <w:highlight w:val="none"/>
                <w:lang w:val="en-US" w:eastAsia="zh-CN"/>
              </w:rPr>
              <w:t>等；</w:t>
            </w:r>
          </w:p>
          <w:p>
            <w:pPr>
              <w:spacing w:line="360" w:lineRule="auto"/>
              <w:ind w:firstLine="420" w:firstLineChars="200"/>
              <w:rPr>
                <w:rFonts w:hint="eastAsia" w:ascii="Times New Roman" w:hAnsi="Times New Roman" w:eastAsia="宋体" w:cs="Times New Roman"/>
                <w:szCs w:val="22"/>
                <w:highlight w:val="none"/>
              </w:rPr>
            </w:pPr>
            <w:r>
              <w:rPr>
                <w:rFonts w:hint="eastAsia" w:ascii="Times New Roman" w:hAnsi="Times New Roman" w:eastAsia="宋体" w:cs="Times New Roman"/>
                <w:szCs w:val="22"/>
                <w:highlight w:val="none"/>
              </w:rPr>
              <w:t>通用控制措施——</w:t>
            </w:r>
          </w:p>
          <w:p>
            <w:pPr>
              <w:spacing w:line="360" w:lineRule="auto"/>
              <w:ind w:firstLine="420" w:firstLineChars="200"/>
              <w:rPr>
                <w:rFonts w:hint="eastAsia" w:ascii="Times New Roman" w:hAnsi="Times New Roman" w:eastAsia="宋体" w:cs="Times New Roman"/>
                <w:szCs w:val="22"/>
                <w:highlight w:val="none"/>
              </w:rPr>
            </w:pPr>
            <w:r>
              <w:rPr>
                <w:rFonts w:hint="eastAsia" w:ascii="Times New Roman" w:hAnsi="Times New Roman" w:eastAsia="宋体" w:cs="Times New Roman"/>
                <w:szCs w:val="22"/>
                <w:highlight w:val="none"/>
              </w:rPr>
              <w:t>制定目标、指标，编制运行控制文件，运行控制；设置警示标志标识；</w:t>
            </w:r>
          </w:p>
          <w:p>
            <w:pPr>
              <w:spacing w:line="360" w:lineRule="auto"/>
              <w:ind w:firstLine="420" w:firstLineChars="200"/>
              <w:rPr>
                <w:rFonts w:hint="eastAsia" w:ascii="Times New Roman" w:hAnsi="Times New Roman" w:eastAsia="宋体" w:cs="Times New Roman"/>
                <w:szCs w:val="22"/>
                <w:highlight w:val="none"/>
              </w:rPr>
            </w:pPr>
            <w:r>
              <w:rPr>
                <w:rFonts w:hint="eastAsia" w:ascii="Times New Roman" w:hAnsi="Times New Roman" w:eastAsia="宋体" w:cs="Times New Roman"/>
                <w:szCs w:val="22"/>
                <w:highlight w:val="none"/>
              </w:rPr>
              <w:t>火灾，触电——</w:t>
            </w:r>
          </w:p>
          <w:p>
            <w:pPr>
              <w:spacing w:line="360" w:lineRule="auto"/>
              <w:ind w:firstLine="420" w:firstLineChars="200"/>
              <w:rPr>
                <w:rFonts w:hint="eastAsia" w:ascii="Times New Roman" w:hAnsi="Times New Roman" w:eastAsia="宋体" w:cs="Times New Roman"/>
                <w:szCs w:val="22"/>
                <w:highlight w:val="none"/>
                <w:lang w:eastAsia="zh-CN"/>
              </w:rPr>
            </w:pPr>
            <w:r>
              <w:rPr>
                <w:rFonts w:hint="eastAsia" w:ascii="Times New Roman" w:hAnsi="Times New Roman" w:eastAsia="宋体" w:cs="Times New Roman"/>
                <w:szCs w:val="22"/>
                <w:highlight w:val="none"/>
              </w:rPr>
              <w:t>设备、电路定期检修、检查，配置消防器材、做好火灾预防措施</w:t>
            </w:r>
            <w:r>
              <w:rPr>
                <w:rFonts w:hint="eastAsia" w:ascii="Times New Roman" w:hAnsi="Times New Roman" w:eastAsia="宋体" w:cs="Times New Roman"/>
                <w:szCs w:val="22"/>
                <w:highlight w:val="none"/>
                <w:lang w:eastAsia="zh-CN"/>
              </w:rPr>
              <w:t>。</w:t>
            </w:r>
          </w:p>
          <w:p>
            <w:pPr>
              <w:spacing w:line="360" w:lineRule="auto"/>
              <w:ind w:firstLine="420" w:firstLineChars="200"/>
              <w:rPr>
                <w:rFonts w:hint="eastAsia" w:ascii="Times New Roman" w:hAnsi="Times New Roman" w:eastAsia="宋体" w:cs="Times New Roman"/>
                <w:szCs w:val="22"/>
                <w:highlight w:val="none"/>
              </w:rPr>
            </w:pPr>
            <w:r>
              <w:rPr>
                <w:rFonts w:hint="eastAsia" w:ascii="Times New Roman" w:hAnsi="Times New Roman" w:eastAsia="宋体" w:cs="Times New Roman"/>
                <w:szCs w:val="22"/>
                <w:highlight w:val="none"/>
              </w:rPr>
              <w:t>为应对</w:t>
            </w:r>
            <w:r>
              <w:rPr>
                <w:rFonts w:hint="eastAsia" w:ascii="Times New Roman" w:hAnsi="Times New Roman" w:eastAsia="宋体" w:cs="Times New Roman"/>
                <w:szCs w:val="22"/>
                <w:highlight w:val="none"/>
                <w:lang w:val="en-US" w:eastAsia="zh-CN"/>
              </w:rPr>
              <w:t>上述</w:t>
            </w:r>
            <w:r>
              <w:rPr>
                <w:rFonts w:hint="eastAsia" w:ascii="Times New Roman" w:hAnsi="Times New Roman" w:eastAsia="宋体" w:cs="Times New Roman"/>
                <w:szCs w:val="22"/>
                <w:highlight w:val="none"/>
              </w:rPr>
              <w:t>风险和机遇，公司依据GB/T19001-2016、GB/T24001-2016、GB/T45001-2020标准的要求并结合本公司的具体情况，采取PDCA的过程方法，建立、实施、保持并持续改进质量、环境、职业健康安全管理体系。</w:t>
            </w:r>
          </w:p>
          <w:p>
            <w:pPr>
              <w:spacing w:line="360" w:lineRule="auto"/>
              <w:ind w:firstLine="420" w:firstLineChars="200"/>
              <w:rPr>
                <w:rFonts w:hint="eastAsia" w:ascii="Times New Roman" w:hAnsi="Times New Roman" w:eastAsia="宋体" w:cs="Times New Roman"/>
                <w:szCs w:val="22"/>
                <w:highlight w:val="none"/>
              </w:rPr>
            </w:pPr>
            <w:r>
              <w:rPr>
                <w:rFonts w:hint="eastAsia" w:ascii="Times New Roman" w:hAnsi="Times New Roman" w:eastAsia="宋体" w:cs="Times New Roman"/>
                <w:szCs w:val="22"/>
                <w:highlight w:val="none"/>
                <w:lang w:val="en-US" w:eastAsia="zh-CN"/>
              </w:rPr>
              <w:t>管理手册——A/1，</w:t>
            </w:r>
            <w:r>
              <w:rPr>
                <w:rFonts w:hint="eastAsia" w:ascii="Times New Roman" w:hAnsi="Times New Roman" w:eastAsia="宋体" w:cs="Times New Roman"/>
                <w:szCs w:val="22"/>
                <w:highlight w:val="none"/>
              </w:rPr>
              <w:t>2019年05月15日</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程序文件——和环境保护与职业健康安全相关的程序有：风险和机遇的应对控制程序、设计开发控制程序、采购控制程序、环境因素和危险源识别评价与控制程序、环境和职业健康安全法律法规控制程序、应急准备和响应控制程序、监视和测量控制程序、不符合/纠正和预防措施控制程序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管理文件——编制有安全教育管理制度、消防安全管理制度、职业健康体检管理制度等文件；</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建立有外来文件清单，收集相关标准和法律等8个；</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建立环境、职业健康安全法律法规和其他要求清单，共100余个。</w:t>
            </w:r>
          </w:p>
          <w:p>
            <w:pPr>
              <w:spacing w:line="360" w:lineRule="auto"/>
              <w:ind w:firstLine="420" w:firstLineChars="200"/>
              <w:rPr>
                <w:rFonts w:hint="eastAsia" w:ascii="Times New Roman" w:hAnsi="Times New Roman" w:eastAsia="宋体" w:cs="Times New Roman"/>
                <w:szCs w:val="22"/>
                <w:highlight w:val="none"/>
              </w:rPr>
            </w:pPr>
            <w:r>
              <w:rPr>
                <w:rFonts w:hint="eastAsia" w:ascii="Times New Roman" w:hAnsi="Times New Roman" w:eastAsia="宋体" w:cs="Times New Roman"/>
                <w:szCs w:val="22"/>
                <w:highlight w:val="none"/>
              </w:rPr>
              <w:t>本公司识别并确定</w:t>
            </w:r>
            <w:r>
              <w:rPr>
                <w:rFonts w:hint="eastAsia" w:ascii="Times New Roman" w:hAnsi="Times New Roman" w:eastAsia="宋体" w:cs="Times New Roman"/>
                <w:szCs w:val="22"/>
                <w:highlight w:val="none"/>
                <w:lang w:val="en-US" w:eastAsia="zh-CN"/>
              </w:rPr>
              <w:t>了业务过程</w:t>
            </w:r>
            <w:r>
              <w:rPr>
                <w:rFonts w:hint="eastAsia" w:ascii="Times New Roman" w:hAnsi="Times New Roman" w:eastAsia="宋体" w:cs="Times New Roman"/>
                <w:szCs w:val="22"/>
                <w:highlight w:val="none"/>
              </w:rPr>
              <w:t>：</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系统分析-基本设计-详细设计-单体开发-结合测试-系统测试-试运行-正式运行</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公司将环境保护和职业健康安全融入到业务过程之中进行控制；</w:t>
            </w:r>
          </w:p>
          <w:p>
            <w:pPr>
              <w:spacing w:line="360" w:lineRule="auto"/>
              <w:ind w:firstLine="420" w:firstLineChars="200"/>
              <w:rPr>
                <w:rFonts w:hint="eastAsia" w:ascii="Times New Roman" w:hAnsi="Times New Roman" w:eastAsia="宋体" w:cs="Times New Roman"/>
                <w:szCs w:val="22"/>
                <w:highlight w:val="none"/>
                <w:lang w:val="zh-CN"/>
              </w:rPr>
            </w:pPr>
            <w:r>
              <w:rPr>
                <w:rFonts w:hint="eastAsia" w:ascii="Times New Roman" w:hAnsi="Times New Roman" w:eastAsia="宋体" w:cs="Times New Roman"/>
                <w:szCs w:val="22"/>
                <w:highlight w:val="none"/>
                <w:lang w:val="en-US" w:eastAsia="zh-CN"/>
              </w:rPr>
              <w:t>认证范围</w:t>
            </w:r>
            <w:r>
              <w:rPr>
                <w:rFonts w:hint="eastAsia" w:ascii="Times New Roman" w:hAnsi="Times New Roman" w:eastAsia="宋体" w:cs="Times New Roman"/>
                <w:szCs w:val="22"/>
                <w:highlight w:val="none"/>
                <w:lang w:val="zh-CN"/>
              </w:rPr>
              <w:t>：</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E：智能密集架、书架、寄存柜、枪弹柜、数字化档案馆、城市公交自行车智能管理系统的开发及所涉及的相关环境管理活动；</w:t>
            </w:r>
          </w:p>
          <w:p>
            <w:pPr>
              <w:spacing w:line="360" w:lineRule="auto"/>
              <w:ind w:firstLine="420" w:firstLineChars="200"/>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szCs w:val="22"/>
                <w:highlight w:val="none"/>
                <w:lang w:val="en-US" w:eastAsia="zh-CN"/>
              </w:rPr>
              <w:t>O：智能密集架、书架、寄存柜、枪弹柜、数字化档案馆、城市公交自行车智能管理系统的开发及所涉及场所的相关职业健康安全管理活动。</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040" w:type="dxa"/>
            <w:vAlign w:val="top"/>
          </w:tcPr>
          <w:p>
            <w:pPr>
              <w:rPr>
                <w:rFonts w:hint="eastAsia" w:ascii="宋体" w:hAnsi="宋体" w:cs="Arial"/>
                <w:spacing w:val="-6"/>
                <w:sz w:val="21"/>
                <w:szCs w:val="21"/>
              </w:rPr>
            </w:pPr>
            <w:r>
              <w:rPr>
                <w:rFonts w:hint="eastAsia" w:ascii="宋体" w:hAnsi="宋体" w:cs="Arial"/>
                <w:spacing w:val="-6"/>
                <w:sz w:val="21"/>
                <w:szCs w:val="21"/>
              </w:rPr>
              <w:t>环境/职业健康方针</w:t>
            </w:r>
          </w:p>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环境/</w:t>
            </w:r>
            <w:r>
              <w:rPr>
                <w:rFonts w:hint="eastAsia" w:ascii="宋体" w:hAnsi="宋体" w:cs="Arial"/>
                <w:sz w:val="21"/>
                <w:szCs w:val="21"/>
              </w:rPr>
              <w:t>职业健康</w:t>
            </w:r>
            <w:r>
              <w:rPr>
                <w:rFonts w:hint="eastAsia" w:ascii="宋体" w:hAnsi="宋体" w:cs="Arial"/>
                <w:spacing w:val="-6"/>
                <w:sz w:val="21"/>
                <w:szCs w:val="21"/>
              </w:rPr>
              <w:t>安全目标及其实现的策划</w:t>
            </w:r>
          </w:p>
        </w:tc>
        <w:tc>
          <w:tcPr>
            <w:tcW w:w="1080" w:type="dxa"/>
            <w:vAlign w:val="top"/>
          </w:tcPr>
          <w:p>
            <w:pPr>
              <w:rPr>
                <w:rFonts w:hint="eastAsia" w:ascii="宋体" w:hAnsi="宋体" w:cs="Arial"/>
                <w:spacing w:val="-6"/>
                <w:sz w:val="21"/>
                <w:szCs w:val="21"/>
              </w:rPr>
            </w:pPr>
            <w:r>
              <w:rPr>
                <w:rFonts w:hint="eastAsia" w:ascii="宋体" w:hAnsi="宋体" w:cs="Arial"/>
                <w:spacing w:val="-6"/>
                <w:sz w:val="21"/>
                <w:szCs w:val="21"/>
                <w:lang w:val="en-US" w:eastAsia="zh-CN"/>
              </w:rPr>
              <w:t>EO:</w:t>
            </w:r>
            <w:r>
              <w:rPr>
                <w:rFonts w:hint="eastAsia" w:ascii="宋体" w:hAnsi="宋体" w:cs="Arial"/>
                <w:spacing w:val="-6"/>
                <w:sz w:val="21"/>
                <w:szCs w:val="21"/>
              </w:rPr>
              <w:t>5.2</w:t>
            </w:r>
          </w:p>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EO:</w:t>
            </w:r>
            <w:r>
              <w:rPr>
                <w:rFonts w:hint="eastAsia" w:ascii="宋体" w:hAnsi="宋体" w:cs="Arial"/>
                <w:spacing w:val="-6"/>
                <w:sz w:val="21"/>
                <w:szCs w:val="21"/>
              </w:rPr>
              <w:t>6.2</w:t>
            </w:r>
          </w:p>
        </w:tc>
        <w:tc>
          <w:tcPr>
            <w:tcW w:w="10004" w:type="dxa"/>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1.方针：</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安全方针：预防为主，以人为本，科学管理，强化管理。</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环境方针：营造绿色环境、遵守法律法规、提高环境意识。</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方针适宜于公司现状，在管理手册中明确，通过文件发放，使员工获知，适用时提供给相关方。</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基本符合。</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2.管理目标：</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环境安全目标：</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固体废弃物分类处理100%；</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火灾事故发生率为0；</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触电事故发生率为0；</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制定“管理目标及方案”、“</w:t>
            </w:r>
            <w:r>
              <w:rPr>
                <w:rFonts w:hint="default" w:ascii="Times New Roman" w:hAnsi="Times New Roman" w:eastAsia="宋体" w:cs="Times New Roman"/>
                <w:szCs w:val="22"/>
                <w:highlight w:val="none"/>
                <w:lang w:val="en-US" w:eastAsia="zh-CN"/>
              </w:rPr>
              <w:t>目标实施措施表</w:t>
            </w:r>
            <w:r>
              <w:rPr>
                <w:rFonts w:hint="eastAsia" w:ascii="Times New Roman" w:hAnsi="Times New Roman" w:eastAsia="宋体" w:cs="Times New Roman"/>
                <w:szCs w:val="22"/>
                <w:highlight w:val="none"/>
                <w:lang w:val="en-US" w:eastAsia="zh-CN"/>
              </w:rPr>
              <w:t>”，对目标实现进行了策划，明确了控制措施；</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通过“</w:t>
            </w:r>
            <w:r>
              <w:rPr>
                <w:rFonts w:hint="default" w:ascii="Times New Roman" w:hAnsi="Times New Roman" w:eastAsia="宋体" w:cs="Times New Roman"/>
                <w:szCs w:val="22"/>
                <w:highlight w:val="none"/>
                <w:lang w:val="en-US" w:eastAsia="zh-CN"/>
              </w:rPr>
              <w:t>目标实施措施表</w:t>
            </w:r>
            <w:r>
              <w:rPr>
                <w:rFonts w:hint="eastAsia" w:ascii="Times New Roman" w:hAnsi="Times New Roman" w:eastAsia="宋体" w:cs="Times New Roman"/>
                <w:szCs w:val="22"/>
                <w:highlight w:val="none"/>
                <w:lang w:val="en-US" w:eastAsia="zh-CN"/>
              </w:rPr>
              <w:t>”，对目标进行分解到各部门；并且明确了考核周期、考核方式；</w:t>
            </w:r>
          </w:p>
          <w:p>
            <w:pPr>
              <w:spacing w:line="360" w:lineRule="auto"/>
              <w:ind w:firstLine="420" w:firstLineChars="200"/>
              <w:rPr>
                <w:rFonts w:hint="eastAsia" w:ascii="宋体" w:hAnsi="宋体" w:eastAsia="宋体" w:cs="Arial"/>
                <w:spacing w:val="-6"/>
                <w:kern w:val="2"/>
                <w:sz w:val="21"/>
                <w:szCs w:val="21"/>
                <w:lang w:val="en-US" w:eastAsia="zh-CN" w:bidi="ar-SA"/>
              </w:rPr>
            </w:pPr>
            <w:r>
              <w:rPr>
                <w:rFonts w:hint="eastAsia" w:ascii="Times New Roman" w:hAnsi="Times New Roman" w:eastAsia="宋体" w:cs="Times New Roman"/>
                <w:szCs w:val="22"/>
                <w:lang w:val="en-US" w:eastAsia="zh-CN"/>
              </w:rPr>
              <w:t>2020年度和2021年度一季度考核目标均已完成。</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2040" w:type="dxa"/>
            <w:vAlign w:val="top"/>
          </w:tcPr>
          <w:p>
            <w:pPr>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领导作用</w:t>
            </w:r>
          </w:p>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组织的岗位、职责和权限</w:t>
            </w:r>
          </w:p>
        </w:tc>
        <w:tc>
          <w:tcPr>
            <w:tcW w:w="1080" w:type="dxa"/>
            <w:vAlign w:val="top"/>
          </w:tcPr>
          <w:p>
            <w:pPr>
              <w:jc w:val="center"/>
              <w:rPr>
                <w:rFonts w:hint="eastAsia" w:ascii="宋体" w:hAnsi="宋体" w:eastAsia="宋体" w:cs="Arial"/>
                <w:spacing w:val="-6"/>
                <w:sz w:val="21"/>
                <w:szCs w:val="21"/>
                <w:lang w:val="en-US" w:eastAsia="zh-CN"/>
              </w:rPr>
            </w:pPr>
            <w:r>
              <w:rPr>
                <w:rFonts w:hint="eastAsia" w:ascii="宋体" w:hAnsi="宋体" w:cs="Arial"/>
                <w:spacing w:val="-6"/>
                <w:sz w:val="21"/>
                <w:szCs w:val="21"/>
                <w:lang w:val="en-US" w:eastAsia="zh-CN"/>
              </w:rPr>
              <w:t>EO:</w:t>
            </w:r>
            <w:r>
              <w:rPr>
                <w:rFonts w:hint="eastAsia" w:ascii="宋体" w:hAnsi="宋体" w:eastAsia="宋体" w:cs="Arial"/>
                <w:spacing w:val="-6"/>
                <w:sz w:val="21"/>
                <w:szCs w:val="21"/>
                <w:lang w:val="en-US" w:eastAsia="zh-CN"/>
              </w:rPr>
              <w:t>5.1</w:t>
            </w:r>
          </w:p>
          <w:p>
            <w:pPr>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5.3</w:t>
            </w:r>
          </w:p>
        </w:tc>
        <w:tc>
          <w:tcPr>
            <w:tcW w:w="10004" w:type="dxa"/>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最高管理者在管理手册中明确了各部门和各岗位的职责和权限，以确保管理体系符合各项标准的要求，并确保各个过程获得其预期输出。</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经授权的分管领导向最高管理者报告环境、职业健康安全管理体系的绩效及改进机会，确保整个组织推动保持环境管理和职业健康安全管理绩效，确保在策划和实施管理体系变更时保持其完整性。</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公司设置有行政部、业务部、研发部、财务部。</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经查每个部门均有部门职责和权限，各岗位的职责和权限、任职要求在《管理手册》中得到规定。</w:t>
            </w:r>
          </w:p>
          <w:p>
            <w:pPr>
              <w:spacing w:line="360" w:lineRule="auto"/>
              <w:ind w:firstLine="420" w:firstLineChars="200"/>
              <w:rPr>
                <w:rFonts w:hint="eastAsia" w:ascii="宋体" w:hAnsi="宋体" w:eastAsia="宋体" w:cs="Arial"/>
                <w:spacing w:val="-6"/>
                <w:kern w:val="2"/>
                <w:sz w:val="18"/>
                <w:szCs w:val="18"/>
                <w:lang w:val="en-US" w:eastAsia="zh-CN" w:bidi="ar-SA"/>
              </w:rPr>
            </w:pPr>
            <w:r>
              <w:rPr>
                <w:rFonts w:hint="eastAsia" w:ascii="Times New Roman" w:hAnsi="Times New Roman" w:eastAsia="宋体" w:cs="Times New Roman"/>
                <w:szCs w:val="22"/>
                <w:highlight w:val="none"/>
                <w:lang w:val="en-US" w:eastAsia="zh-CN"/>
              </w:rPr>
              <w:t>经查问组织内的职责和权限基本得到沟通，通过文件发布、传达、会议、培训等了解有关职责和权限。同总经理交谈，对于自身职责权限比较清楚。</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040" w:type="dxa"/>
            <w:vAlign w:val="center"/>
          </w:tcPr>
          <w:p>
            <w:pPr>
              <w:spacing w:line="360" w:lineRule="auto"/>
              <w:rPr>
                <w:rFonts w:hint="eastAsia" w:ascii="Times New Roman" w:hAnsi="Times New Roman" w:eastAsia="宋体" w:cs="Times New Roman"/>
                <w:szCs w:val="22"/>
                <w:highlight w:val="none"/>
              </w:rPr>
            </w:pPr>
            <w:r>
              <w:rPr>
                <w:rFonts w:hint="eastAsia" w:ascii="宋体" w:hAnsi="宋体"/>
                <w:b w:val="0"/>
                <w:bCs w:val="0"/>
                <w:sz w:val="21"/>
                <w:szCs w:val="21"/>
                <w:lang w:val="en-US" w:eastAsia="zh-CN"/>
              </w:rPr>
              <w:t>沟通</w:t>
            </w:r>
          </w:p>
        </w:tc>
        <w:tc>
          <w:tcPr>
            <w:tcW w:w="1080" w:type="dxa"/>
            <w:vAlign w:val="center"/>
          </w:tcPr>
          <w:p>
            <w:pPr>
              <w:spacing w:line="360" w:lineRule="auto"/>
              <w:rPr>
                <w:rFonts w:ascii="楷体" w:hAnsi="楷体" w:eastAsia="楷体"/>
                <w:sz w:val="24"/>
                <w:szCs w:val="24"/>
              </w:rPr>
            </w:pPr>
            <w:r>
              <w:rPr>
                <w:rFonts w:hint="eastAsia" w:ascii="宋体" w:hAnsi="宋体"/>
                <w:b w:val="0"/>
                <w:bCs w:val="0"/>
                <w:sz w:val="21"/>
                <w:szCs w:val="21"/>
                <w:lang w:val="en-US" w:eastAsia="zh-CN"/>
              </w:rPr>
              <w:t>EO:7.4</w:t>
            </w:r>
          </w:p>
        </w:tc>
        <w:tc>
          <w:tcPr>
            <w:tcW w:w="10004" w:type="dxa"/>
            <w:vAlign w:val="center"/>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公司建立了信息通渠沟道，借助于会议、电话、口头交流等方式使全体员工达到沟通和理解。</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日常对于环保、安全方面的信息主要利用会议、培训、座谈、电话、网络、文件等方式进行内外部沟通和协商。</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保持“告各相关方的一封信”，与客户沟通环境保护和职业健康安全相关要求。</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现场查见会议记录、通知通报、培训记录等组织内部培训方式相关记录。</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介绍说，目前与外部的信息交流主要是参加会议、接收来文、电话、邮件等，均按要求予以传达和落实，沟通情况较好。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现有的沟通渠道和方法能满足要求。</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040"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协商与参与</w:t>
            </w:r>
          </w:p>
        </w:tc>
        <w:tc>
          <w:tcPr>
            <w:tcW w:w="1080" w:type="dxa"/>
            <w:vAlign w:val="top"/>
          </w:tcPr>
          <w:p>
            <w:pPr>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O:5.4</w:t>
            </w:r>
          </w:p>
        </w:tc>
        <w:tc>
          <w:tcPr>
            <w:tcW w:w="10004" w:type="dxa"/>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总经理为协商、参与提供了时间、机会、培训、资源等保障，明确了沟通、协商、参与渠道，消除了障碍和壁垒。</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公司经选举确定职业健康安全事务代表是聂斌华，管理手册中明确了其主要职责为：</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1.参与管理方针和程序的制定和评审；</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2.参与商讨影响工作场所职业健康安全的任何变化；</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3.参与职业健康安全的事务的处理。</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职业健康安全事务代表聂斌华介绍：公司规模较小，组织为各部门管理人员及基层工作人员明确了职责和权限，各部门管理人参与了环境因素和危险源辨识、风险和机遇评价和控制措施的确定，在确定相关方的需求和期望时进行了适当的协商，共同参与了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相关人员能够适当参与并协</w:t>
            </w:r>
            <w:bookmarkStart w:id="0" w:name="_GoBack"/>
            <w:bookmarkEnd w:id="0"/>
            <w:r>
              <w:rPr>
                <w:rFonts w:hint="eastAsia" w:ascii="Times New Roman" w:hAnsi="Times New Roman" w:eastAsia="宋体" w:cs="Times New Roman"/>
                <w:szCs w:val="22"/>
                <w:highlight w:val="none"/>
                <w:lang w:val="en-US" w:eastAsia="zh-CN"/>
              </w:rPr>
              <w:t>商办理公司经营管理及安全事务等工作。</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安全事务代表能履行职责。</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40"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管理评审</w:t>
            </w:r>
          </w:p>
        </w:tc>
        <w:tc>
          <w:tcPr>
            <w:tcW w:w="1080" w:type="dxa"/>
            <w:vAlign w:val="top"/>
          </w:tcPr>
          <w:p>
            <w:pPr>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QEO:</w:t>
            </w:r>
            <w:r>
              <w:rPr>
                <w:rFonts w:hint="eastAsia" w:ascii="宋体" w:hAnsi="宋体" w:cs="Arial"/>
                <w:spacing w:val="-6"/>
                <w:sz w:val="21"/>
                <w:szCs w:val="21"/>
              </w:rPr>
              <w:t>9.3</w:t>
            </w:r>
          </w:p>
        </w:tc>
        <w:tc>
          <w:tcPr>
            <w:tcW w:w="10004" w:type="dxa"/>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2020年8月28日在公司会议室召开管理评审会议，由吴旋总经理主持；</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保留管理评审计划、管理评审报告、管理评审会议纪要等；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管理评审输入基本充分，</w:t>
            </w:r>
            <w:r>
              <w:rPr>
                <w:rFonts w:hint="eastAsia" w:cs="Times New Roman"/>
                <w:szCs w:val="22"/>
                <w:highlight w:val="none"/>
                <w:lang w:val="en-US" w:eastAsia="zh-CN"/>
              </w:rPr>
              <w:t>对</w:t>
            </w:r>
            <w:r>
              <w:rPr>
                <w:rFonts w:hint="eastAsia" w:ascii="Times New Roman" w:hAnsi="Times New Roman" w:eastAsia="宋体" w:cs="Times New Roman"/>
                <w:szCs w:val="22"/>
                <w:highlight w:val="none"/>
                <w:lang w:val="en-US" w:eastAsia="zh-CN"/>
              </w:rPr>
              <w:t>上次管理评审改进措施实施情况</w:t>
            </w:r>
            <w:r>
              <w:rPr>
                <w:rFonts w:hint="eastAsia" w:cs="Times New Roman"/>
                <w:szCs w:val="22"/>
                <w:highlight w:val="none"/>
                <w:lang w:val="en-US" w:eastAsia="zh-CN"/>
              </w:rPr>
              <w:t>进行了评审</w:t>
            </w:r>
            <w:r>
              <w:rPr>
                <w:rFonts w:hint="eastAsia" w:ascii="Times New Roman" w:hAnsi="Times New Roman" w:eastAsia="宋体" w:cs="Times New Roman"/>
                <w:szCs w:val="22"/>
                <w:highlight w:val="none"/>
                <w:lang w:val="en-US" w:eastAsia="zh-CN"/>
              </w:rPr>
              <w:t>；</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管理评审结论：管理体系的建立和运行是充分的、适宜的、有效的。</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改进措施要求：</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进一步组织对对标准、《管理手册》、《程序文件》、相关的法律、法规、规程和规范的学习。</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保留有“管理评审改进措施计划”。</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040" w:type="dxa"/>
            <w:vAlign w:val="top"/>
          </w:tcPr>
          <w:p>
            <w:pPr>
              <w:rPr>
                <w:rFonts w:hint="eastAsia" w:ascii="宋体" w:hAnsi="宋体" w:cs="Arial"/>
                <w:spacing w:val="-6"/>
                <w:sz w:val="21"/>
                <w:szCs w:val="21"/>
              </w:rPr>
            </w:pPr>
            <w:r>
              <w:rPr>
                <w:rFonts w:hint="eastAsia" w:ascii="宋体" w:hAnsi="宋体" w:cs="Arial"/>
                <w:spacing w:val="-6"/>
                <w:sz w:val="21"/>
                <w:szCs w:val="21"/>
              </w:rPr>
              <w:t>改进</w:t>
            </w:r>
          </w:p>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持续改进</w:t>
            </w:r>
          </w:p>
        </w:tc>
        <w:tc>
          <w:tcPr>
            <w:tcW w:w="1080" w:type="dxa"/>
            <w:vAlign w:val="top"/>
          </w:tcPr>
          <w:p>
            <w:pPr>
              <w:jc w:val="center"/>
              <w:rPr>
                <w:rFonts w:hint="eastAsia" w:ascii="宋体" w:hAnsi="宋体" w:cs="Arial"/>
                <w:spacing w:val="-6"/>
                <w:sz w:val="21"/>
                <w:szCs w:val="21"/>
              </w:rPr>
            </w:pPr>
            <w:r>
              <w:rPr>
                <w:rFonts w:hint="eastAsia" w:ascii="宋体" w:hAnsi="宋体" w:cs="Arial"/>
                <w:spacing w:val="-6"/>
                <w:sz w:val="21"/>
                <w:szCs w:val="21"/>
                <w:lang w:val="en-US" w:eastAsia="zh-CN"/>
              </w:rPr>
              <w:t>QEO:</w:t>
            </w:r>
            <w:r>
              <w:rPr>
                <w:rFonts w:hint="eastAsia" w:ascii="宋体" w:hAnsi="宋体" w:cs="Arial"/>
                <w:spacing w:val="-6"/>
                <w:sz w:val="21"/>
                <w:szCs w:val="21"/>
              </w:rPr>
              <w:t>10.1</w:t>
            </w:r>
          </w:p>
          <w:p>
            <w:pPr>
              <w:jc w:val="cente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10.3</w:t>
            </w:r>
          </w:p>
        </w:tc>
        <w:tc>
          <w:tcPr>
            <w:tcW w:w="10004" w:type="dxa"/>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者代表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保、职业健康意识、安全意识有较大的提高，持续改进了管理体系的有效性。</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0"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标准/规范/法规的执行情况</w:t>
            </w:r>
          </w:p>
        </w:tc>
        <w:tc>
          <w:tcPr>
            <w:tcW w:w="1080" w:type="dxa"/>
            <w:vAlign w:val="top"/>
          </w:tcPr>
          <w:p>
            <w:pPr>
              <w:jc w:val="center"/>
              <w:rPr>
                <w:rFonts w:hint="eastAsia" w:ascii="宋体" w:hAnsi="宋体" w:eastAsia="宋体" w:cs="Arial"/>
                <w:spacing w:val="-6"/>
                <w:kern w:val="2"/>
                <w:sz w:val="21"/>
                <w:szCs w:val="21"/>
                <w:lang w:val="en-US" w:eastAsia="zh-CN" w:bidi="ar-SA"/>
              </w:rPr>
            </w:pPr>
          </w:p>
        </w:tc>
        <w:tc>
          <w:tcPr>
            <w:tcW w:w="10004" w:type="dxa"/>
            <w:vAlign w:val="center"/>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未发生重大环保事件、安全事故，遵守法律法规要求。</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0"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lang w:val="en-US" w:eastAsia="zh-CN"/>
              </w:rPr>
              <w:t>上次</w:t>
            </w:r>
            <w:r>
              <w:rPr>
                <w:rFonts w:hint="eastAsia" w:ascii="宋体" w:hAnsi="宋体" w:cs="Arial"/>
                <w:spacing w:val="-6"/>
                <w:sz w:val="21"/>
                <w:szCs w:val="21"/>
              </w:rPr>
              <w:t>审核不符合项的验证</w:t>
            </w:r>
          </w:p>
        </w:tc>
        <w:tc>
          <w:tcPr>
            <w:tcW w:w="1080" w:type="dxa"/>
            <w:vAlign w:val="top"/>
          </w:tcPr>
          <w:p>
            <w:pPr>
              <w:jc w:val="center"/>
              <w:rPr>
                <w:rFonts w:hint="eastAsia" w:ascii="宋体" w:hAnsi="宋体" w:eastAsia="宋体" w:cs="Arial"/>
                <w:spacing w:val="-6"/>
                <w:kern w:val="2"/>
                <w:sz w:val="21"/>
                <w:szCs w:val="21"/>
                <w:lang w:val="en-US" w:eastAsia="zh-CN" w:bidi="ar-SA"/>
              </w:rPr>
            </w:pPr>
          </w:p>
        </w:tc>
        <w:tc>
          <w:tcPr>
            <w:tcW w:w="10004" w:type="dxa"/>
            <w:vAlign w:val="center"/>
          </w:tcPr>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上次审核未开具不符合项报告。</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40"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认证证书、标志的使用情况、</w:t>
            </w:r>
          </w:p>
        </w:tc>
        <w:tc>
          <w:tcPr>
            <w:tcW w:w="1080" w:type="dxa"/>
            <w:vAlign w:val="top"/>
          </w:tcPr>
          <w:p>
            <w:pPr>
              <w:jc w:val="center"/>
              <w:rPr>
                <w:rFonts w:hint="eastAsia" w:ascii="宋体" w:hAnsi="宋体" w:eastAsia="宋体" w:cs="Arial"/>
                <w:spacing w:val="-6"/>
                <w:kern w:val="2"/>
                <w:sz w:val="21"/>
                <w:szCs w:val="21"/>
                <w:lang w:val="en-US" w:eastAsia="zh-CN" w:bidi="ar-SA"/>
              </w:rPr>
            </w:pPr>
          </w:p>
        </w:tc>
        <w:tc>
          <w:tcPr>
            <w:tcW w:w="10004" w:type="dxa"/>
            <w:vAlign w:val="center"/>
          </w:tcPr>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仅用于招投标，符合。</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40"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投诉或事故、监督抽查情况</w:t>
            </w:r>
          </w:p>
        </w:tc>
        <w:tc>
          <w:tcPr>
            <w:tcW w:w="1080" w:type="dxa"/>
            <w:vAlign w:val="top"/>
          </w:tcPr>
          <w:p>
            <w:pPr>
              <w:jc w:val="center"/>
              <w:rPr>
                <w:rFonts w:hint="eastAsia" w:ascii="宋体" w:hAnsi="宋体" w:eastAsia="宋体" w:cs="Arial"/>
                <w:spacing w:val="-6"/>
                <w:kern w:val="2"/>
                <w:sz w:val="21"/>
                <w:szCs w:val="21"/>
                <w:lang w:val="en-US" w:eastAsia="zh-CN" w:bidi="ar-SA"/>
              </w:rPr>
            </w:pPr>
          </w:p>
        </w:tc>
        <w:tc>
          <w:tcPr>
            <w:tcW w:w="10004" w:type="dxa"/>
            <w:vAlign w:val="center"/>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自公司成立以来，未受到上级主管部门有关环境、职业健康安全的行政处罚。未发生相关方的投诉。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暂时没有国家/地方抽查情况。</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040" w:type="dxa"/>
            <w:vAlign w:val="top"/>
          </w:tcPr>
          <w:p>
            <w:pPr>
              <w:rPr>
                <w:rFonts w:hint="eastAsia" w:ascii="宋体" w:hAnsi="宋体" w:eastAsia="宋体" w:cs="Arial"/>
                <w:spacing w:val="-6"/>
                <w:kern w:val="2"/>
                <w:sz w:val="21"/>
                <w:szCs w:val="21"/>
                <w:lang w:val="en-US" w:eastAsia="zh-CN" w:bidi="ar-SA"/>
              </w:rPr>
            </w:pPr>
            <w:r>
              <w:rPr>
                <w:rFonts w:hint="eastAsia" w:ascii="宋体" w:hAnsi="宋体" w:cs="Arial"/>
                <w:spacing w:val="-6"/>
                <w:sz w:val="21"/>
                <w:szCs w:val="21"/>
              </w:rPr>
              <w:t>体系变动</w:t>
            </w:r>
          </w:p>
        </w:tc>
        <w:tc>
          <w:tcPr>
            <w:tcW w:w="1080" w:type="dxa"/>
            <w:vAlign w:val="top"/>
          </w:tcPr>
          <w:p>
            <w:pPr>
              <w:jc w:val="center"/>
              <w:rPr>
                <w:rFonts w:hint="eastAsia" w:ascii="宋体" w:hAnsi="宋体" w:eastAsia="宋体" w:cs="Arial"/>
                <w:spacing w:val="-6"/>
                <w:kern w:val="2"/>
                <w:sz w:val="21"/>
                <w:szCs w:val="21"/>
                <w:lang w:val="en-US" w:eastAsia="zh-CN" w:bidi="ar-SA"/>
              </w:rPr>
            </w:pPr>
          </w:p>
        </w:tc>
        <w:tc>
          <w:tcPr>
            <w:tcW w:w="10004" w:type="dxa"/>
            <w:vAlign w:val="top"/>
          </w:tcPr>
          <w:p>
            <w:pPr>
              <w:spacing w:line="360" w:lineRule="auto"/>
              <w:ind w:firstLine="420" w:firstLineChars="200"/>
              <w:rPr>
                <w:rFonts w:hint="eastAsia" w:cs="Times New Roman"/>
                <w:szCs w:val="22"/>
                <w:highlight w:val="none"/>
                <w:lang w:val="en-US" w:eastAsia="zh-CN"/>
              </w:rPr>
            </w:pPr>
            <w:r>
              <w:rPr>
                <w:rFonts w:hint="eastAsia" w:ascii="Times New Roman" w:hAnsi="Times New Roman" w:eastAsia="宋体" w:cs="Times New Roman"/>
                <w:szCs w:val="22"/>
                <w:highlight w:val="none"/>
                <w:lang w:val="en-US" w:eastAsia="zh-CN"/>
              </w:rPr>
              <w:t>经营地址</w:t>
            </w:r>
            <w:r>
              <w:rPr>
                <w:rFonts w:hint="eastAsia" w:cs="Times New Roman"/>
                <w:szCs w:val="22"/>
                <w:highlight w:val="none"/>
                <w:lang w:val="en-US" w:eastAsia="zh-CN"/>
              </w:rPr>
              <w:t>由：</w:t>
            </w:r>
            <w:r>
              <w:rPr>
                <w:rFonts w:hint="eastAsia" w:ascii="Times New Roman" w:hAnsi="Times New Roman" w:eastAsia="宋体" w:cs="Times New Roman"/>
                <w:szCs w:val="22"/>
                <w:highlight w:val="none"/>
                <w:lang w:val="en-US" w:eastAsia="zh-CN"/>
              </w:rPr>
              <w:t>江西省樟树市四特大道318号</w:t>
            </w:r>
            <w:r>
              <w:rPr>
                <w:rFonts w:hint="eastAsia" w:cs="Times New Roman"/>
                <w:szCs w:val="22"/>
                <w:highlight w:val="none"/>
                <w:lang w:val="en-US" w:eastAsia="zh-CN"/>
              </w:rPr>
              <w:t>，</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变更为：江西省樟树市区城北工业园清江大道6666号金属产品交易中心</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cs="Times New Roman"/>
                <w:szCs w:val="22"/>
                <w:highlight w:val="none"/>
                <w:lang w:val="en-US" w:eastAsia="zh-CN"/>
              </w:rPr>
              <w:t>联系人由：邹然，变更为：徐培</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ISC-B-II-1</w:t>
                          </w:r>
                          <w:r>
                            <w:rPr>
                              <w:sz w:val="18"/>
                              <w:szCs w:val="18"/>
                            </w:rPr>
                            <w:t>2</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mc:Fallback>
      </mc:AlternateConten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054CF8"/>
    <w:rsid w:val="287434C3"/>
    <w:rsid w:val="4D4E4AC6"/>
    <w:rsid w:val="69F50373"/>
    <w:rsid w:val="7C755D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9"/>
    <w:pPr>
      <w:keepNext/>
      <w:jc w:val="center"/>
      <w:outlineLvl w:val="1"/>
    </w:pPr>
    <w:rPr>
      <w:rFonts w:ascii="宋体" w:hAnsi="宋体"/>
      <w:b/>
      <w:sz w:val="5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3</TotalTime>
  <ScaleCrop>false</ScaleCrop>
  <LinksUpToDate>false</LinksUpToDate>
  <CharactersWithSpaces>151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2021-05-27T07:56:07Z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