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0469-2021-Q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重庆高通电子系统有限公司</w:t>
      </w:r>
      <w:bookmarkEnd w:id="1"/>
    </w:p>
    <w:p>
      <w:pPr>
        <w:snapToGrid w:val="0"/>
        <w:spacing w:after="94" w:afterLines="3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29.09.02,34.05.00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5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重庆高通电子系统有限公司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重庆市九龙坡区石桥铺石新路71号附1号1-8-1</w:t>
            </w:r>
            <w:bookmarkEnd w:id="10"/>
          </w:p>
        </w:tc>
        <w:tc>
          <w:tcPr>
            <w:tcW w:w="95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3" w:type="dxa"/>
          </w:tcPr>
          <w:p>
            <w:pPr>
              <w:spacing w:line="280" w:lineRule="exact"/>
              <w:rPr>
                <w:rFonts w:ascii="宋体"/>
                <w:b/>
                <w:color w:val="000000"/>
                <w:sz w:val="20"/>
                <w:szCs w:val="20"/>
              </w:rPr>
            </w:pPr>
            <w:bookmarkStart w:id="11" w:name="注册邮编"/>
            <w:r>
              <w:rPr>
                <w:rFonts w:ascii="宋体"/>
                <w:b/>
                <w:color w:val="000000"/>
                <w:sz w:val="20"/>
                <w:szCs w:val="20"/>
              </w:rPr>
              <w:t>40003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重庆市沙坪坝区上桥关井沟</w:t>
            </w:r>
            <w:bookmarkEnd w:id="14"/>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15" w:name="生产邮编Add1"/>
            <w:r>
              <w:rPr>
                <w:rFonts w:ascii="宋体"/>
                <w:b/>
                <w:color w:val="000000"/>
                <w:sz w:val="20"/>
                <w:szCs w:val="20"/>
              </w:rPr>
              <w:t>400037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陈俊伦</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13808316200</w:t>
            </w:r>
            <w:bookmarkEnd w:id="17"/>
          </w:p>
        </w:tc>
        <w:tc>
          <w:tcPr>
            <w:tcW w:w="95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3"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陈俊伦</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陈俊伦</w:t>
            </w:r>
            <w:bookmarkEnd w:id="20"/>
          </w:p>
        </w:tc>
        <w:tc>
          <w:tcPr>
            <w:tcW w:w="957" w:type="dxa"/>
          </w:tcPr>
          <w:p>
            <w:pPr>
              <w:jc w:val="center"/>
              <w:rPr>
                <w:rFonts w:ascii="宋体"/>
                <w:b/>
                <w:color w:val="000000"/>
                <w:sz w:val="20"/>
                <w:szCs w:val="20"/>
              </w:rPr>
            </w:pPr>
            <w:r>
              <w:rPr>
                <w:rFonts w:hint="eastAsia" w:ascii="宋体"/>
                <w:b/>
                <w:color w:val="000000"/>
                <w:sz w:val="20"/>
                <w:szCs w:val="20"/>
              </w:rPr>
              <w:t>邮箱</w:t>
            </w:r>
          </w:p>
        </w:tc>
        <w:tc>
          <w:tcPr>
            <w:tcW w:w="1843" w:type="dxa"/>
          </w:tcPr>
          <w:p>
            <w:pPr>
              <w:rPr>
                <w:rFonts w:ascii="宋体"/>
                <w:b/>
                <w:color w:val="000000"/>
                <w:sz w:val="20"/>
                <w:szCs w:val="20"/>
              </w:rPr>
            </w:pPr>
            <w:bookmarkStart w:id="21" w:name="联系人邮箱Add1"/>
            <w:r>
              <w:rPr>
                <w:rFonts w:ascii="宋体"/>
                <w:b/>
                <w:color w:val="000000"/>
                <w:sz w:val="20"/>
                <w:szCs w:val="20"/>
              </w:rPr>
              <w:t>148119752@qq.com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传感器及车用电子产品的研发、销售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29.09.02;34.05.00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imes New Roman" w:hAnsi="Times New Roman" w:eastAsia="宋体" w:cs="Times New Roman"/>
          <w:szCs w:val="22"/>
          <w:lang w:eastAsia="zh-CN"/>
        </w:rPr>
        <w:t>综合部、</w:t>
      </w:r>
      <w:r>
        <w:rPr>
          <w:rFonts w:hint="eastAsia" w:cs="Times New Roman"/>
          <w:szCs w:val="22"/>
          <w:lang w:eastAsia="zh-CN"/>
        </w:rPr>
        <w:t>研发部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传感器及车用电子产品的研发、销售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eastAsia="zh-CN"/>
              </w:rPr>
              <w:t>综合部、</w:t>
            </w:r>
            <w:r>
              <w:rPr>
                <w:rFonts w:hint="eastAsia" w:cs="Times New Roman"/>
                <w:szCs w:val="22"/>
                <w:lang w:eastAsia="zh-CN"/>
              </w:rPr>
              <w:t>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cs="Times New Roman"/>
                <w:szCs w:val="22"/>
                <w:lang w:eastAsia="zh-CN"/>
              </w:rPr>
              <w:t>研发</w:t>
            </w:r>
            <w:r>
              <w:rPr>
                <w:rFonts w:hint="eastAsia" w:ascii="Times New Roman" w:hAnsi="Times New Roman" w:eastAsia="宋体" w:cs="Times New Roman"/>
                <w:szCs w:val="22"/>
                <w:lang w:eastAsia="zh-CN"/>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themeColor="text1"/>
                <w:sz w:val="20"/>
                <w:szCs w:val="20"/>
              </w:rPr>
            </w:pPr>
            <w:r>
              <w:rPr>
                <w:rFonts w:hint="eastAsia" w:ascii="宋体" w:hAnsi="宋体"/>
                <w:b/>
                <w:color w:val="000000"/>
                <w:sz w:val="20"/>
                <w:szCs w:val="20"/>
              </w:rPr>
              <w:t>概述受审核方现场具体情况：</w:t>
            </w:r>
          </w:p>
          <w:p>
            <w:pPr>
              <w:tabs>
                <w:tab w:val="left" w:pos="360"/>
              </w:tabs>
              <w:ind w:left="357" w:hanging="357"/>
              <w:rPr>
                <w:color w:val="000000" w:themeColor="text1"/>
              </w:rPr>
            </w:pPr>
            <w:r>
              <w:rPr>
                <w:rFonts w:hint="eastAsia" w:ascii="宋体" w:hAnsi="宋体"/>
                <w:color w:val="000000" w:themeColor="text1"/>
                <w:sz w:val="20"/>
                <w:szCs w:val="20"/>
              </w:rPr>
              <w:t>受审核方位于：</w:t>
            </w:r>
            <w:bookmarkStart w:id="24" w:name="生产地址"/>
            <w:r>
              <w:rPr>
                <w:color w:val="000000" w:themeColor="text1"/>
              </w:rPr>
              <w:t>重庆市沙坪坝区上桥关井沟</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highlight w:val="none"/>
              </w:rPr>
              <w:t>其使用的建筑设施是：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自建办公用房</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自建厂房</w:t>
            </w:r>
            <w:r>
              <w:rPr>
                <w:rFonts w:hint="eastAsia" w:ascii="宋体" w:hAnsi="宋体"/>
                <w:color w:val="000000" w:themeColor="text1"/>
                <w:spacing w:val="-10"/>
                <w:sz w:val="20"/>
                <w:szCs w:val="20"/>
                <w:highlight w:val="none"/>
              </w:rPr>
              <w:sym w:font="Wingdings 2" w:char="0052"/>
            </w:r>
            <w:r>
              <w:rPr>
                <w:rFonts w:hint="eastAsia" w:ascii="宋体" w:hAnsi="宋体"/>
                <w:color w:val="000000" w:themeColor="text1"/>
                <w:spacing w:val="-10"/>
                <w:sz w:val="20"/>
                <w:szCs w:val="20"/>
                <w:highlight w:val="none"/>
              </w:rPr>
              <w:t>租用办公用房□租用厂</w:t>
            </w:r>
            <w:r>
              <w:rPr>
                <w:rFonts w:hint="eastAsia" w:ascii="宋体" w:hAnsi="宋体"/>
                <w:color w:val="000000" w:themeColor="text1"/>
                <w:spacing w:val="-10"/>
                <w:sz w:val="20"/>
                <w:szCs w:val="20"/>
              </w:rPr>
              <w:t>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color w:val="000000" w:themeColor="text1"/>
                <w:highlight w:val="none"/>
              </w:rPr>
            </w:pPr>
            <w:r>
              <w:rPr>
                <w:rFonts w:hint="eastAsia" w:ascii="宋体" w:hAnsi="宋体"/>
                <w:color w:val="000000" w:themeColor="text1"/>
                <w:spacing w:val="-10"/>
                <w:sz w:val="20"/>
                <w:szCs w:val="20"/>
                <w:highlight w:val="none"/>
                <w:lang w:eastAsia="zh-CN"/>
              </w:rPr>
              <w:t>■</w:t>
            </w:r>
            <w:r>
              <w:rPr>
                <w:rFonts w:hint="eastAsia" w:ascii="宋体" w:hAnsi="宋体"/>
                <w:color w:val="000000" w:themeColor="text1"/>
                <w:spacing w:val="-10"/>
                <w:sz w:val="20"/>
                <w:szCs w:val="20"/>
                <w:highlight w:val="none"/>
              </w:rPr>
              <w:t>产品技术标准号：</w:t>
            </w:r>
            <w:r>
              <w:rPr>
                <w:rFonts w:hint="eastAsia" w:ascii="宋体" w:hAnsi="宋体"/>
                <w:color w:val="000000" w:themeColor="text1"/>
                <w:sz w:val="21"/>
                <w:szCs w:val="21"/>
              </w:rPr>
              <w:t>中华人民共和国产品质量法、中华人民共和国消费者权益保护法、频率信号输出型转速传感器性能评定方法JB/T 7814-2014、压力传感器性能试验方法GB/T 15478-2015等标准及合同和客户要求</w:t>
            </w:r>
            <w:r>
              <w:rPr>
                <w:rFonts w:hint="eastAsia" w:ascii="宋体" w:hAnsi="宋体" w:eastAsia="宋体" w:cs="Times New Roman"/>
                <w:b w:val="0"/>
                <w:color w:val="000000" w:themeColor="text1"/>
                <w:kern w:val="2"/>
                <w:sz w:val="21"/>
                <w:szCs w:val="21"/>
                <w:highlight w:val="none"/>
                <w:lang w:val="en-US" w:eastAsia="zh-CN" w:bidi="ar-SA"/>
              </w:rPr>
              <w:t>。</w:t>
            </w:r>
          </w:p>
          <w:p>
            <w:pPr>
              <w:rPr>
                <w:rFonts w:ascii="宋体"/>
                <w:color w:val="000000" w:themeColor="text1"/>
                <w:spacing w:val="-10"/>
                <w:sz w:val="20"/>
                <w:szCs w:val="20"/>
                <w:highlight w:val="none"/>
              </w:rPr>
            </w:pPr>
            <w:r>
              <w:rPr>
                <w:rFonts w:hint="eastAsia" w:ascii="宋体" w:hAnsi="宋体"/>
                <w:color w:val="000000" w:themeColor="text1"/>
                <w:spacing w:val="-10"/>
                <w:sz w:val="20"/>
                <w:szCs w:val="20"/>
                <w:highlight w:val="none"/>
                <w:lang w:eastAsia="zh-CN"/>
              </w:rPr>
              <w:t>☑</w:t>
            </w:r>
            <w:r>
              <w:rPr>
                <w:rFonts w:hint="eastAsia" w:ascii="宋体" w:hAnsi="宋体"/>
                <w:color w:val="000000" w:themeColor="text1"/>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000000" w:themeColor="text1"/>
                <w:sz w:val="20"/>
                <w:szCs w:val="20"/>
                <w:highlight w:val="none"/>
              </w:rPr>
            </w:pPr>
            <w:r>
              <w:rPr>
                <w:rFonts w:hint="eastAsia" w:ascii="宋体" w:hAnsi="宋体"/>
                <w:color w:val="000000" w:themeColor="text1"/>
                <w:sz w:val="20"/>
                <w:szCs w:val="20"/>
                <w:highlight w:val="none"/>
              </w:rPr>
              <w:t>现场是否有产品检验报告</w:t>
            </w:r>
            <w:r>
              <w:rPr>
                <w:rFonts w:hint="eastAsia" w:ascii="宋体" w:hAnsi="宋体"/>
                <w:color w:val="000000" w:themeColor="text1"/>
                <w:sz w:val="20"/>
                <w:szCs w:val="20"/>
                <w:highlight w:val="none"/>
              </w:rPr>
              <w:sym w:font="Wingdings 2" w:char="00A3"/>
            </w:r>
            <w:r>
              <w:rPr>
                <w:rFonts w:hint="eastAsia" w:ascii="宋体" w:hAnsi="宋体"/>
                <w:color w:val="000000" w:themeColor="text1"/>
                <w:sz w:val="20"/>
                <w:szCs w:val="20"/>
                <w:highlight w:val="none"/>
              </w:rPr>
              <w:t>是</w:t>
            </w:r>
            <w:r>
              <w:rPr>
                <w:rFonts w:hint="eastAsia" w:ascii="宋体" w:hAnsi="宋体"/>
                <w:color w:val="000000" w:themeColor="text1"/>
                <w:sz w:val="20"/>
                <w:szCs w:val="20"/>
                <w:highlight w:val="none"/>
              </w:rPr>
              <w:sym w:font="Wingdings 2" w:char="00A3"/>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FF0000"/>
                <w:sz w:val="20"/>
                <w:szCs w:val="20"/>
              </w:rPr>
            </w:pPr>
            <w:r>
              <w:rPr>
                <w:rFonts w:hint="eastAsia" w:ascii="宋体" w:hAnsi="宋体"/>
                <w:color w:val="000000" w:themeColor="text1"/>
                <w:sz w:val="20"/>
                <w:szCs w:val="20"/>
              </w:rPr>
              <w:t>是否需要型式试验</w:t>
            </w:r>
            <w:r>
              <w:rPr>
                <w:rFonts w:hint="eastAsia" w:ascii="宋体" w:hAnsi="宋体"/>
                <w:color w:val="auto"/>
                <w:sz w:val="20"/>
                <w:szCs w:val="20"/>
              </w:rPr>
              <w:t>□是■否，是否有型式试验报告□是■否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rPr>
                <w:rFonts w:hint="eastAsia" w:ascii="宋体"/>
                <w:color w:val="000000"/>
                <w:sz w:val="20"/>
                <w:szCs w:val="20"/>
                <w:lang w:val="en-US" w:eastAsia="zh-CN"/>
              </w:rPr>
            </w:pPr>
            <w:r>
              <w:rPr>
                <w:rFonts w:hint="eastAsia" w:ascii="宋体"/>
                <w:color w:val="000000"/>
                <w:sz w:val="20"/>
                <w:szCs w:val="20"/>
                <w:lang w:val="en-US" w:eastAsia="zh-CN"/>
              </w:rPr>
              <w:t>传感器及车用电子产品的研发、销售 ：</w:t>
            </w:r>
          </w:p>
          <w:p>
            <w:pPr>
              <w:rPr>
                <w:rFonts w:hint="eastAsia" w:ascii="宋体" w:hAnsi="宋体" w:cs="宋体"/>
                <w:color w:val="000000"/>
                <w:szCs w:val="21"/>
                <w:lang w:val="en-US" w:eastAsia="zh-CN"/>
              </w:rPr>
            </w:pPr>
            <w:r>
              <w:rPr>
                <w:rFonts w:hint="eastAsia" w:ascii="宋体" w:hAnsi="宋体" w:cs="宋体"/>
                <w:color w:val="000000"/>
                <w:szCs w:val="21"/>
                <w:lang w:val="en-US" w:eastAsia="zh-CN"/>
              </w:rPr>
              <w:t>需求分析—提出设计任务—编制设计方案—开发设计—样品验证</w:t>
            </w:r>
          </w:p>
          <w:p>
            <w:pPr>
              <w:rPr>
                <w:rFonts w:hint="eastAsia" w:ascii="宋体"/>
                <w:color w:val="000000"/>
                <w:sz w:val="20"/>
                <w:szCs w:val="20"/>
                <w:lang w:val="en-US" w:eastAsia="zh-CN"/>
              </w:rPr>
            </w:pPr>
            <w:r>
              <w:rPr>
                <w:rFonts w:hint="eastAsia" w:ascii="宋体"/>
                <w:color w:val="000000"/>
                <w:sz w:val="20"/>
                <w:szCs w:val="20"/>
                <w:lang w:val="en-US" w:eastAsia="zh-CN"/>
              </w:rPr>
              <w:t>合同签订—采购产品—产品检验—产品交付—客户签收—售后服务</w:t>
            </w:r>
          </w:p>
          <w:p>
            <w:pPr>
              <w:rPr>
                <w:rFonts w:hint="eastAsia" w:ascii="宋体"/>
                <w:color w:val="000000"/>
                <w:sz w:val="20"/>
                <w:szCs w:val="20"/>
                <w:lang w:val="en-US" w:eastAsia="zh-CN"/>
              </w:rPr>
            </w:pPr>
            <w:r>
              <w:rPr>
                <w:rFonts w:hint="eastAsia" w:ascii="宋体"/>
                <w:color w:val="000000"/>
                <w:sz w:val="20"/>
                <w:szCs w:val="20"/>
                <w:lang w:val="en-US" w:eastAsia="zh-CN"/>
              </w:rPr>
              <w:t>特殊过程：销售服务过程</w:t>
            </w:r>
          </w:p>
          <w:p>
            <w:pPr>
              <w:rPr>
                <w:rFonts w:ascii="宋体"/>
                <w:color w:val="000000"/>
                <w:sz w:val="20"/>
                <w:szCs w:val="20"/>
              </w:rPr>
            </w:pPr>
            <w:r>
              <w:rPr>
                <w:rFonts w:hint="eastAsia" w:ascii="宋体"/>
                <w:color w:val="000000"/>
                <w:sz w:val="20"/>
                <w:szCs w:val="20"/>
                <w:lang w:val="en-US" w:eastAsia="zh-CN"/>
              </w:rPr>
              <w:t>关键过程：销售服务过程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z w:val="20"/>
                <w:szCs w:val="20"/>
                <w:lang w:eastAsia="zh-CN"/>
              </w:rPr>
            </w:pPr>
            <w:r>
              <w:rPr>
                <w:rFonts w:hint="eastAsia" w:ascii="宋体" w:hAnsi="宋体"/>
                <w:color w:val="000000"/>
                <w:sz w:val="20"/>
                <w:szCs w:val="20"/>
              </w:rPr>
              <w:t>针对关键过程建立的控制文件有：销售和服务提供控制程序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themeColor="text1"/>
                <w:spacing w:val="-10"/>
                <w:sz w:val="20"/>
                <w:szCs w:val="20"/>
                <w:lang w:val="en-US" w:eastAsia="zh-CN"/>
              </w:rPr>
            </w:pPr>
            <w:r>
              <w:rPr>
                <w:rFonts w:hint="eastAsia" w:ascii="宋体" w:hAnsi="宋体"/>
                <w:color w:val="000000" w:themeColor="text1"/>
                <w:sz w:val="20"/>
                <w:szCs w:val="20"/>
              </w:rPr>
              <w:t>外包过程有：</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z w:val="20"/>
                <w:szCs w:val="20"/>
              </w:rPr>
            </w:pPr>
            <w:r>
              <w:rPr>
                <w:rFonts w:hint="eastAsia" w:ascii="宋体" w:hAnsi="宋体"/>
                <w:color w:val="000000"/>
                <w:sz w:val="20"/>
                <w:szCs w:val="20"/>
              </w:rPr>
              <w:t>主要设备：</w:t>
            </w:r>
            <w:r>
              <w:rPr>
                <w:rFonts w:hint="eastAsia"/>
                <w:color w:val="000000" w:themeColor="text1"/>
                <w:lang w:val="en-US" w:eastAsia="zh-CN"/>
              </w:rPr>
              <w:t>办公设施、电脑、打印机、办公耗材等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highlight w:val="none"/>
                <w:lang w:val="en-US" w:eastAsia="zh-CN"/>
              </w:rPr>
            </w:pPr>
            <w:r>
              <w:rPr>
                <w:rFonts w:hint="eastAsia" w:ascii="宋体" w:hAnsi="宋体"/>
                <w:color w:val="000000" w:themeColor="text1"/>
                <w:sz w:val="20"/>
                <w:szCs w:val="20"/>
                <w:highlight w:val="none"/>
              </w:rPr>
              <w:t>特种设备：</w:t>
            </w:r>
            <w:r>
              <w:rPr>
                <w:rFonts w:hint="eastAsia" w:ascii="宋体" w:hAnsi="宋体"/>
                <w:color w:val="000000" w:themeColor="text1"/>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hAnsi="宋体"/>
                <w:color w:val="000000" w:themeColor="text1"/>
                <w:sz w:val="20"/>
                <w:szCs w:val="20"/>
                <w:highlight w:val="none"/>
                <w:lang w:val="en-US"/>
              </w:rPr>
            </w:pPr>
            <w:r>
              <w:rPr>
                <w:rFonts w:hint="eastAsia" w:ascii="宋体" w:hAnsi="宋体"/>
                <w:color w:val="000000" w:themeColor="text1"/>
                <w:sz w:val="20"/>
                <w:szCs w:val="20"/>
                <w:highlight w:val="none"/>
              </w:rPr>
              <w:t>监视和测量设备（请简述主要监视和测量设备）：</w:t>
            </w:r>
            <w:r>
              <w:rPr>
                <w:rFonts w:hint="eastAsia" w:ascii="宋体" w:hAnsi="宋体"/>
                <w:color w:val="000000" w:themeColor="text1"/>
                <w:sz w:val="20"/>
                <w:szCs w:val="20"/>
                <w:highlight w:val="none"/>
                <w:lang w:val="en-US" w:eastAsia="zh-CN"/>
              </w:rPr>
              <w:t>游标卡尺、数字万用表、数字示波器</w:t>
            </w:r>
            <w:bookmarkStart w:id="25" w:name="_GoBack"/>
            <w:bookmarkEnd w:id="25"/>
            <w:r>
              <w:rPr>
                <w:rFonts w:hint="eastAsia" w:ascii="宋体" w:hAnsi="宋体"/>
                <w:color w:val="000000" w:themeColor="text1"/>
                <w:sz w:val="20"/>
                <w:szCs w:val="20"/>
                <w:highlight w:val="none"/>
                <w:lang w:val="en-US" w:eastAsia="zh-CN"/>
              </w:rPr>
              <w:t>，不能提供有效的校准证书。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themeColor="text1"/>
                <w:sz w:val="20"/>
                <w:szCs w:val="20"/>
                <w:highlight w:val="none"/>
              </w:rPr>
            </w:pPr>
            <w:r>
              <w:rPr>
                <w:rFonts w:hint="eastAsia" w:ascii="宋体" w:hAnsi="宋体"/>
                <w:color w:val="000000" w:themeColor="text1"/>
                <w:sz w:val="20"/>
                <w:szCs w:val="20"/>
                <w:highlight w:val="none"/>
              </w:rPr>
              <w:t>检测设备是否满足要求</w:t>
            </w:r>
            <w:r>
              <w:rPr>
                <w:rFonts w:hint="eastAsia" w:ascii="宋体" w:hAnsi="宋体"/>
                <w:color w:val="000000" w:themeColor="text1"/>
                <w:sz w:val="20"/>
                <w:szCs w:val="20"/>
                <w:highlight w:val="none"/>
                <w:lang w:eastAsia="zh-CN"/>
              </w:rPr>
              <w:t>□</w:t>
            </w:r>
            <w:r>
              <w:rPr>
                <w:rFonts w:hint="eastAsia" w:ascii="宋体" w:hAnsi="宋体"/>
                <w:color w:val="000000" w:themeColor="text1"/>
                <w:sz w:val="20"/>
                <w:szCs w:val="20"/>
                <w:highlight w:val="none"/>
              </w:rPr>
              <w:t>是</w:t>
            </w:r>
            <w:r>
              <w:rPr>
                <w:rFonts w:hint="eastAsia" w:ascii="宋体" w:hAnsi="宋体"/>
                <w:color w:val="000000" w:themeColor="text1"/>
                <w:sz w:val="20"/>
                <w:szCs w:val="20"/>
                <w:highlight w:val="none"/>
              </w:rPr>
              <w:sym w:font="Wingdings 2" w:char="0052"/>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Times New Roman" w:hAnsi="Times New Roman" w:eastAsia="宋体" w:cs="Times New Roman"/>
                <w:szCs w:val="22"/>
                <w:lang w:eastAsia="zh-CN"/>
              </w:rPr>
              <w:t>综合部、</w:t>
            </w:r>
            <w:r>
              <w:rPr>
                <w:rFonts w:hint="eastAsia" w:cs="Times New Roman"/>
                <w:szCs w:val="22"/>
                <w:lang w:eastAsia="zh-CN"/>
              </w:rPr>
              <w:t>研发部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采购、销售过程、研发</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w:t>
            </w:r>
            <w:r>
              <w:rPr>
                <w:rFonts w:hint="eastAsia" w:ascii="Times New Roman" w:hAnsi="Times New Roman" w:eastAsia="宋体" w:cs="Times New Roman"/>
                <w:sz w:val="21"/>
                <w:szCs w:val="21"/>
                <w:highlight w:val="none"/>
              </w:rPr>
              <w:t>程序》，于</w:t>
            </w:r>
            <w:r>
              <w:rPr>
                <w:rFonts w:hint="eastAsia"/>
                <w:sz w:val="21"/>
                <w:szCs w:val="21"/>
                <w:lang w:eastAsia="zh-CN"/>
              </w:rPr>
              <w:t>2021年3月26日</w:t>
            </w:r>
            <w:r>
              <w:rPr>
                <w:rFonts w:hint="eastAsia" w:ascii="Times New Roman" w:hAnsi="Times New Roman" w:eastAsia="宋体" w:cs="Times New Roman"/>
                <w:sz w:val="21"/>
                <w:szCs w:val="21"/>
                <w:highlight w:val="none"/>
              </w:rPr>
              <w:t>进行了内部审核。内部审核组组成：</w:t>
            </w:r>
            <w:r>
              <w:rPr>
                <w:rFonts w:hint="eastAsia"/>
                <w:sz w:val="21"/>
                <w:szCs w:val="21"/>
                <w:lang w:eastAsia="zh-CN"/>
              </w:rPr>
              <w:t xml:space="preserve">组长：陈承（综合部）       组员：侯光彪（研发部）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 w:val="21"/>
                <w:szCs w:val="21"/>
                <w:lang w:eastAsia="zh-CN"/>
              </w:rPr>
            </w:pPr>
            <w:r>
              <w:rPr>
                <w:rFonts w:hint="eastAsia"/>
                <w:sz w:val="21"/>
                <w:szCs w:val="21"/>
                <w:lang w:eastAsia="zh-CN"/>
              </w:rPr>
              <w:t>审核范围:管理体系涉及的公司所有部门及活动场所。</w:t>
            </w:r>
          </w:p>
          <w:p>
            <w:pPr>
              <w:spacing w:line="400" w:lineRule="exact"/>
              <w:rPr>
                <w:rFonts w:ascii="宋体"/>
                <w:b/>
                <w:color w:val="000000"/>
                <w:sz w:val="20"/>
                <w:szCs w:val="20"/>
              </w:rPr>
            </w:pPr>
            <w:r>
              <w:rPr>
                <w:rFonts w:hint="eastAsia"/>
                <w:sz w:val="21"/>
                <w:szCs w:val="21"/>
                <w:lang w:eastAsia="zh-CN"/>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 w:val="21"/>
                <w:szCs w:val="21"/>
                <w:lang w:eastAsia="zh-CN"/>
              </w:rPr>
            </w:pPr>
            <w:r>
              <w:rPr>
                <w:rFonts w:hint="eastAsia"/>
                <w:sz w:val="21"/>
                <w:szCs w:val="21"/>
                <w:lang w:eastAsia="zh-CN"/>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sz w:val="21"/>
                <w:szCs w:val="21"/>
                <w:lang w:eastAsia="zh-CN"/>
              </w:rPr>
            </w:pPr>
            <w:r>
              <w:rPr>
                <w:rFonts w:hint="eastAsia"/>
                <w:sz w:val="21"/>
                <w:szCs w:val="21"/>
                <w:lang w:eastAsia="zh-CN"/>
              </w:rPr>
              <w:t>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 w:val="21"/>
                <w:szCs w:val="21"/>
                <w:lang w:eastAsia="zh-CN"/>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kern w:val="0"/>
                <w:sz w:val="21"/>
                <w:szCs w:val="21"/>
                <w:lang w:eastAsia="zh-CN"/>
              </w:rPr>
              <w:t>2021年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6</w:t>
            </w:r>
            <w:r>
              <w:rPr>
                <w:rFonts w:hint="eastAsia" w:ascii="宋体" w:hAnsi="宋体"/>
                <w:kern w:val="0"/>
                <w:sz w:val="21"/>
                <w:szCs w:val="21"/>
                <w:lang w:eastAsia="zh-CN"/>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themeColor="text1"/>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sym w:font="Wingdings 2" w:char="0052"/>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pacing w:val="-10"/>
                <w:sz w:val="20"/>
                <w:szCs w:val="20"/>
              </w:rPr>
              <w:sym w:font="Wingdings 2" w:char="00A3"/>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sym w:font="Wingdings 2" w:char="0052"/>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QMS:_</w:t>
      </w:r>
      <w:r>
        <w:rPr>
          <w:rFonts w:ascii="宋体" w:hAnsi="宋体"/>
          <w:b/>
          <w:color w:val="000000"/>
          <w:sz w:val="20"/>
          <w:szCs w:val="20"/>
          <w:u w:val="single"/>
        </w:rPr>
        <w:t>_</w:t>
      </w:r>
      <w:r>
        <w:rPr>
          <w:rFonts w:hint="eastAsia" w:ascii="宋体" w:hAnsi="宋体"/>
          <w:szCs w:val="21"/>
          <w:u w:val="single"/>
        </w:rPr>
        <w:t>传感器及车用电子产品的研发、销售</w:t>
      </w:r>
      <w:r>
        <w:rPr>
          <w:rFonts w:ascii="宋体" w:hAnsi="宋体"/>
          <w:b/>
          <w:color w:val="000000"/>
          <w:sz w:val="20"/>
          <w:szCs w:val="20"/>
          <w:u w:val="single"/>
        </w:rPr>
        <w:t>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1892300</wp:posOffset>
            </wp:positionH>
            <wp:positionV relativeFrom="paragraph">
              <wp:posOffset>363855</wp:posOffset>
            </wp:positionV>
            <wp:extent cx="498475" cy="377190"/>
            <wp:effectExtent l="0" t="0" r="9525"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6"/>
                    <a:stretch>
                      <a:fillRect/>
                    </a:stretch>
                  </pic:blipFill>
                  <pic:spPr>
                    <a:xfrm>
                      <a:off x="0" y="0"/>
                      <a:ext cx="498475" cy="3771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r>
        <w:rPr>
          <w:rFonts w:hint="eastAsia"/>
          <w:b/>
          <w:sz w:val="22"/>
          <w:szCs w:val="22"/>
        </w:rPr>
        <w:drawing>
          <wp:anchor distT="0" distB="0" distL="114300" distR="114300" simplePos="0" relativeHeight="251664384" behindDoc="0" locked="0" layoutInCell="1" allowOverlap="1">
            <wp:simplePos x="0" y="0"/>
            <wp:positionH relativeFrom="column">
              <wp:posOffset>1860550</wp:posOffset>
            </wp:positionH>
            <wp:positionV relativeFrom="paragraph">
              <wp:posOffset>225425</wp:posOffset>
            </wp:positionV>
            <wp:extent cx="498475" cy="377190"/>
            <wp:effectExtent l="0" t="0" r="9525" b="381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6"/>
                    <a:stretch>
                      <a:fillRect/>
                    </a:stretch>
                  </pic:blipFill>
                  <pic:spPr>
                    <a:xfrm>
                      <a:off x="0" y="0"/>
                      <a:ext cx="498475" cy="37719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2021年05月15日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研发部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受审核方：重庆高通电子系统有限公司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904"/>
        <w:gridCol w:w="2645"/>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904"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64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63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904"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ascii="宋体" w:hAnsi="宋体"/>
                <w:color w:val="000000" w:themeColor="text1"/>
                <w:sz w:val="20"/>
                <w:szCs w:val="20"/>
                <w:highlight w:val="none"/>
              </w:rPr>
              <w:t>监视和测量设备</w:t>
            </w:r>
            <w:r>
              <w:rPr>
                <w:rFonts w:hint="eastAsia" w:ascii="宋体" w:hAnsi="宋体"/>
                <w:color w:val="000000" w:themeColor="text1"/>
                <w:sz w:val="20"/>
                <w:szCs w:val="20"/>
                <w:highlight w:val="none"/>
                <w:lang w:val="en-US" w:eastAsia="zh-CN"/>
              </w:rPr>
              <w:t>有：游标卡尺、数字万用表、数字示波器，不能提供有效的校准证书。</w:t>
            </w:r>
          </w:p>
        </w:tc>
        <w:tc>
          <w:tcPr>
            <w:tcW w:w="2645" w:type="dxa"/>
            <w:vAlign w:val="center"/>
          </w:tcPr>
          <w:p>
            <w:pPr>
              <w:pStyle w:val="6"/>
              <w:pBdr>
                <w:bottom w:val="none" w:color="auto" w:sz="0" w:space="0"/>
              </w:pBdr>
              <w:ind w:right="600"/>
              <w:jc w:val="left"/>
              <w:rPr>
                <w:rFonts w:hint="eastAsia" w:ascii="宋体"/>
                <w:color w:val="000000"/>
                <w:sz w:val="21"/>
                <w:szCs w:val="21"/>
                <w:lang w:val="en-US" w:eastAsia="zh-CN"/>
              </w:rPr>
            </w:pPr>
            <w:r>
              <w:rPr>
                <w:rFonts w:hint="eastAsia" w:ascii="宋体"/>
                <w:color w:val="000000"/>
                <w:sz w:val="21"/>
                <w:szCs w:val="21"/>
                <w:lang w:val="de-DE" w:eastAsia="zh-CN"/>
              </w:rPr>
              <w:t>GB/T19001-2016</w:t>
            </w:r>
          </w:p>
        </w:tc>
        <w:tc>
          <w:tcPr>
            <w:tcW w:w="1631" w:type="dxa"/>
            <w:vAlign w:val="center"/>
          </w:tcPr>
          <w:p>
            <w:pPr>
              <w:pStyle w:val="6"/>
              <w:pBdr>
                <w:bottom w:val="none" w:color="auto" w:sz="0" w:space="0"/>
              </w:pBdr>
              <w:ind w:right="600"/>
              <w:jc w:val="left"/>
              <w:rPr>
                <w:rFonts w:hint="default" w:ascii="宋体"/>
                <w:color w:val="000000"/>
                <w:sz w:val="21"/>
                <w:szCs w:val="21"/>
                <w:lang w:val="en-US" w:eastAsia="zh-CN"/>
              </w:rPr>
            </w:pPr>
            <w:r>
              <w:rPr>
                <w:rFonts w:hint="eastAsia" w:ascii="宋体"/>
                <w:color w:val="000000"/>
                <w:sz w:val="21"/>
                <w:szCs w:val="21"/>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4904" w:type="dxa"/>
            <w:vAlign w:val="center"/>
          </w:tcPr>
          <w:p>
            <w:pPr>
              <w:pStyle w:val="6"/>
              <w:pBdr>
                <w:bottom w:val="none" w:color="auto" w:sz="0" w:space="0"/>
              </w:pBdr>
              <w:tabs>
                <w:tab w:val="center" w:pos="5737"/>
                <w:tab w:val="clear" w:pos="4153"/>
              </w:tabs>
              <w:jc w:val="both"/>
              <w:rPr>
                <w:color w:val="000000"/>
                <w:sz w:val="24"/>
                <w:szCs w:val="24"/>
              </w:rPr>
            </w:pPr>
          </w:p>
        </w:tc>
        <w:tc>
          <w:tcPr>
            <w:tcW w:w="2645" w:type="dxa"/>
            <w:vAlign w:val="center"/>
          </w:tcPr>
          <w:p>
            <w:pPr>
              <w:pStyle w:val="6"/>
              <w:pBdr>
                <w:bottom w:val="none" w:color="auto" w:sz="0" w:space="0"/>
              </w:pBdr>
              <w:ind w:right="600"/>
              <w:jc w:val="both"/>
              <w:rPr>
                <w:color w:val="000000"/>
                <w:sz w:val="32"/>
                <w:szCs w:val="32"/>
              </w:rPr>
            </w:pPr>
          </w:p>
        </w:tc>
        <w:tc>
          <w:tcPr>
            <w:tcW w:w="163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4904" w:type="dxa"/>
            <w:vAlign w:val="center"/>
          </w:tcPr>
          <w:p>
            <w:pPr>
              <w:pStyle w:val="6"/>
              <w:pBdr>
                <w:bottom w:val="none" w:color="auto" w:sz="0" w:space="0"/>
              </w:pBdr>
              <w:tabs>
                <w:tab w:val="center" w:pos="5737"/>
                <w:tab w:val="clear" w:pos="4153"/>
              </w:tabs>
              <w:jc w:val="both"/>
              <w:rPr>
                <w:color w:val="000000"/>
                <w:sz w:val="24"/>
                <w:szCs w:val="24"/>
              </w:rPr>
            </w:pPr>
          </w:p>
        </w:tc>
        <w:tc>
          <w:tcPr>
            <w:tcW w:w="2645" w:type="dxa"/>
            <w:vAlign w:val="center"/>
          </w:tcPr>
          <w:p>
            <w:pPr>
              <w:pStyle w:val="6"/>
              <w:pBdr>
                <w:bottom w:val="none" w:color="auto" w:sz="0" w:space="0"/>
              </w:pBdr>
              <w:ind w:right="600"/>
              <w:jc w:val="both"/>
              <w:rPr>
                <w:color w:val="000000"/>
                <w:sz w:val="32"/>
                <w:szCs w:val="32"/>
              </w:rPr>
            </w:pPr>
          </w:p>
        </w:tc>
        <w:tc>
          <w:tcPr>
            <w:tcW w:w="163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4904" w:type="dxa"/>
            <w:vAlign w:val="center"/>
          </w:tcPr>
          <w:p>
            <w:pPr>
              <w:pStyle w:val="6"/>
              <w:pBdr>
                <w:bottom w:val="none" w:color="auto" w:sz="0" w:space="0"/>
              </w:pBdr>
              <w:tabs>
                <w:tab w:val="center" w:pos="5737"/>
                <w:tab w:val="clear" w:pos="4153"/>
              </w:tabs>
              <w:jc w:val="both"/>
              <w:rPr>
                <w:color w:val="000000"/>
                <w:sz w:val="24"/>
                <w:szCs w:val="24"/>
              </w:rPr>
            </w:pPr>
          </w:p>
        </w:tc>
        <w:tc>
          <w:tcPr>
            <w:tcW w:w="2645" w:type="dxa"/>
            <w:vAlign w:val="center"/>
          </w:tcPr>
          <w:p>
            <w:pPr>
              <w:pStyle w:val="6"/>
              <w:pBdr>
                <w:bottom w:val="none" w:color="auto" w:sz="0" w:space="0"/>
              </w:pBdr>
              <w:ind w:right="600"/>
              <w:jc w:val="both"/>
              <w:rPr>
                <w:color w:val="000000"/>
                <w:sz w:val="32"/>
                <w:szCs w:val="32"/>
              </w:rPr>
            </w:pPr>
          </w:p>
        </w:tc>
        <w:tc>
          <w:tcPr>
            <w:tcW w:w="163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4904" w:type="dxa"/>
            <w:vAlign w:val="center"/>
          </w:tcPr>
          <w:p>
            <w:pPr>
              <w:pStyle w:val="6"/>
              <w:pBdr>
                <w:bottom w:val="none" w:color="auto" w:sz="0" w:space="0"/>
              </w:pBdr>
              <w:tabs>
                <w:tab w:val="center" w:pos="5737"/>
                <w:tab w:val="clear" w:pos="4153"/>
              </w:tabs>
              <w:jc w:val="both"/>
              <w:rPr>
                <w:color w:val="000000"/>
                <w:sz w:val="24"/>
                <w:szCs w:val="24"/>
              </w:rPr>
            </w:pPr>
          </w:p>
        </w:tc>
        <w:tc>
          <w:tcPr>
            <w:tcW w:w="2645" w:type="dxa"/>
            <w:vAlign w:val="center"/>
          </w:tcPr>
          <w:p>
            <w:pPr>
              <w:pStyle w:val="6"/>
              <w:pBdr>
                <w:bottom w:val="none" w:color="auto" w:sz="0" w:space="0"/>
              </w:pBdr>
              <w:ind w:right="600"/>
              <w:jc w:val="both"/>
              <w:rPr>
                <w:color w:val="000000"/>
                <w:sz w:val="32"/>
                <w:szCs w:val="32"/>
              </w:rPr>
            </w:pPr>
          </w:p>
        </w:tc>
        <w:tc>
          <w:tcPr>
            <w:tcW w:w="163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774700</wp:posOffset>
                  </wp:positionH>
                  <wp:positionV relativeFrom="paragraph">
                    <wp:posOffset>55245</wp:posOffset>
                  </wp:positionV>
                  <wp:extent cx="422910" cy="320040"/>
                  <wp:effectExtent l="0" t="0" r="8890" b="1016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698500</wp:posOffset>
                  </wp:positionH>
                  <wp:positionV relativeFrom="paragraph">
                    <wp:posOffset>92075</wp:posOffset>
                  </wp:positionV>
                  <wp:extent cx="422910" cy="320040"/>
                  <wp:effectExtent l="0" t="0" r="8890" b="1016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86FBB"/>
    <w:rsid w:val="05B040FC"/>
    <w:rsid w:val="14EF5736"/>
    <w:rsid w:val="162973C3"/>
    <w:rsid w:val="1AED5B33"/>
    <w:rsid w:val="2DF37C65"/>
    <w:rsid w:val="4767422D"/>
    <w:rsid w:val="5B371F83"/>
    <w:rsid w:val="72E77AA6"/>
    <w:rsid w:val="78456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2021-05-25T06:49:18Z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A4A183E197BE4079949CEAF193852220</vt:lpwstr>
  </property>
</Properties>
</file>