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both"/>
        <w:rPr>
          <w:rFonts w:hint="eastAsia" w:ascii="Times New Roman" w:hAnsi="Times New Roman" w:eastAsia="宋体" w:cs="Times New Roman"/>
          <w:sz w:val="24"/>
          <w:szCs w:val="24"/>
        </w:rPr>
      </w:pPr>
      <w:r>
        <w:rPr>
          <w:rFonts w:hint="eastAsia"/>
          <w:sz w:val="24"/>
          <w:szCs w:val="24"/>
        </w:rPr>
        <w:t>受审核部门：</w:t>
      </w:r>
      <w:r>
        <w:rPr>
          <w:rFonts w:hint="eastAsia"/>
          <w:sz w:val="24"/>
          <w:szCs w:val="24"/>
          <w:lang w:eastAsia="zh-CN"/>
        </w:rPr>
        <w:t xml:space="preserve">管理层、综合部、市场部  </w:t>
      </w:r>
      <w:r>
        <w:rPr>
          <w:rFonts w:hint="eastAsia"/>
          <w:sz w:val="24"/>
          <w:szCs w:val="24"/>
          <w:lang w:val="en-US" w:eastAsia="zh-CN"/>
        </w:rPr>
        <w:t xml:space="preserve"> </w:t>
      </w:r>
      <w:r>
        <w:rPr>
          <w:rFonts w:hint="eastAsia"/>
          <w:sz w:val="24"/>
          <w:szCs w:val="24"/>
        </w:rPr>
        <w:t>陪同人员</w:t>
      </w:r>
      <w:r>
        <w:rPr>
          <w:rFonts w:hint="eastAsia" w:ascii="Times New Roman" w:hAnsi="Times New Roman" w:eastAsia="宋体" w:cs="Times New Roman"/>
          <w:sz w:val="24"/>
          <w:szCs w:val="24"/>
          <w:lang w:eastAsia="zh-CN"/>
        </w:rPr>
        <w:t>：周梦雅</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eastAsia="zh-CN"/>
        </w:rPr>
        <w:t>张心</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审核时间</w:t>
      </w:r>
      <w:r>
        <w:rPr>
          <w:rFonts w:hint="eastAsia" w:ascii="Times New Roman" w:hAnsi="Times New Roman" w:eastAsia="宋体" w:cs="Times New Roman"/>
          <w:sz w:val="24"/>
          <w:szCs w:val="24"/>
          <w:lang w:val="en-US" w:eastAsia="zh-CN"/>
        </w:rPr>
        <w:t>:</w:t>
      </w:r>
      <w:bookmarkStart w:id="0" w:name="审核开始日"/>
      <w:r>
        <w:rPr>
          <w:rFonts w:hint="eastAsia"/>
          <w:color w:val="000000"/>
          <w:szCs w:val="21"/>
        </w:rPr>
        <w:t>2021年05月15日 上午</w:t>
      </w:r>
      <w:r>
        <w:rPr>
          <w:rFonts w:hint="eastAsia" w:cs="Times New Roman"/>
          <w:sz w:val="24"/>
          <w:szCs w:val="24"/>
          <w:lang w:eastAsia="zh-CN"/>
        </w:rPr>
        <w:t>（</w:t>
      </w:r>
      <w:r>
        <w:rPr>
          <w:rFonts w:hint="eastAsia" w:cs="Times New Roman"/>
          <w:sz w:val="24"/>
          <w:szCs w:val="24"/>
          <w:lang w:val="en-US" w:eastAsia="zh-CN"/>
        </w:rPr>
        <w:t>08：00--12：00</w:t>
      </w:r>
      <w:r>
        <w:rPr>
          <w:rFonts w:hint="eastAsia" w:cs="Times New Roman"/>
          <w:sz w:val="24"/>
          <w:szCs w:val="24"/>
          <w:lang w:eastAsia="zh-CN"/>
        </w:rPr>
        <w:t>）</w:t>
      </w:r>
      <w:r>
        <w:rPr>
          <w:rFonts w:hint="eastAsia" w:ascii="Times New Roman" w:hAnsi="Times New Roman" w:eastAsia="宋体" w:cs="Times New Roman"/>
          <w:sz w:val="24"/>
          <w:szCs w:val="24"/>
        </w:rPr>
        <w:t xml:space="preserve"> </w:t>
      </w:r>
      <w:bookmarkEnd w:id="0"/>
    </w:p>
    <w:tbl>
      <w:tblPr>
        <w:tblStyle w:val="9"/>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9907"/>
        <w:gridCol w:w="91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129"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90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917"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185"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129"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907" w:type="dxa"/>
            <w:noWrap w:val="0"/>
            <w:vAlign w:val="top"/>
          </w:tcPr>
          <w:p>
            <w:pPr>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重庆建熙电子科技有限公司于</w:t>
            </w:r>
            <w:r>
              <w:rPr>
                <w:rFonts w:hint="eastAsia" w:ascii="宋体" w:hAnsi="宋体" w:eastAsia="宋体" w:cs="宋体"/>
                <w:sz w:val="21"/>
                <w:szCs w:val="21"/>
                <w:lang w:val="en-US" w:eastAsia="zh-CN"/>
              </w:rPr>
              <w:t>2014</w:t>
            </w:r>
            <w:r>
              <w:rPr>
                <w:rFonts w:hint="eastAsia" w:ascii="宋体" w:hAnsi="宋体" w:eastAsia="宋体" w:cs="宋体"/>
                <w:sz w:val="21"/>
                <w:szCs w:val="21"/>
                <w:lang w:eastAsia="zh-CN"/>
              </w:rPr>
              <w:t>年注册成立，公司注册地址：</w:t>
            </w:r>
            <w:bookmarkStart w:id="1" w:name="注册地址"/>
            <w:r>
              <w:t>重庆市江北区观音桥街道西环路8号2幢21-17</w:t>
            </w:r>
            <w:bookmarkEnd w:id="1"/>
            <w:r>
              <w:rPr>
                <w:rFonts w:hint="eastAsia" w:ascii="宋体" w:hAnsi="宋体" w:eastAsia="宋体" w:cs="宋体"/>
                <w:sz w:val="21"/>
                <w:szCs w:val="21"/>
                <w:lang w:eastAsia="zh-CN"/>
              </w:rPr>
              <w:t>，主要经营</w:t>
            </w:r>
            <w:bookmarkStart w:id="2" w:name="审核范围"/>
            <w:r>
              <w:rPr>
                <w:rFonts w:hint="eastAsia" w:ascii="宋体" w:hAnsi="宋体"/>
                <w:szCs w:val="21"/>
              </w:rPr>
              <w:t>电子产品、光纤产品的销售及进出口贸易</w:t>
            </w:r>
            <w:bookmarkEnd w:id="2"/>
            <w:r>
              <w:rPr>
                <w:rFonts w:hint="eastAsia" w:ascii="宋体" w:hAnsi="宋体" w:eastAsia="宋体" w:cs="宋体"/>
                <w:sz w:val="21"/>
                <w:szCs w:val="21"/>
                <w:lang w:eastAsia="zh-CN"/>
              </w:rPr>
              <w:t>，目前生产经营状况良好。</w:t>
            </w:r>
          </w:p>
          <w:p>
            <w:pPr>
              <w:spacing w:line="400" w:lineRule="exact"/>
              <w:ind w:firstLine="420" w:firstLineChars="200"/>
              <w:jc w:val="left"/>
              <w:rPr>
                <w:rFonts w:hint="eastAsia" w:ascii="Times New Roman" w:hAnsi="Times New Roman" w:eastAsia="宋体" w:cs="Times New Roman"/>
                <w:szCs w:val="22"/>
              </w:rPr>
            </w:pPr>
            <w:r>
              <w:rPr>
                <w:rFonts w:hint="eastAsia"/>
                <w:szCs w:val="22"/>
              </w:rPr>
              <w:t>该公司目前成立了</w:t>
            </w:r>
            <w:r>
              <w:rPr>
                <w:rFonts w:hint="eastAsia"/>
                <w:szCs w:val="22"/>
                <w:lang w:eastAsia="zh-CN"/>
              </w:rPr>
              <w:t>两</w:t>
            </w:r>
            <w:r>
              <w:rPr>
                <w:rFonts w:hint="eastAsia" w:ascii="Times New Roman" w:hAnsi="Times New Roman" w:eastAsia="宋体" w:cs="Times New Roman"/>
                <w:szCs w:val="22"/>
              </w:rPr>
              <w:t>个部门：</w:t>
            </w:r>
            <w:r>
              <w:rPr>
                <w:rFonts w:hint="eastAsia" w:ascii="Times New Roman" w:hAnsi="Times New Roman" w:eastAsia="宋体" w:cs="Times New Roman"/>
                <w:szCs w:val="22"/>
                <w:lang w:eastAsia="zh-CN"/>
              </w:rPr>
              <w:t>综合部、市场部</w:t>
            </w:r>
            <w:r>
              <w:rPr>
                <w:rFonts w:hint="eastAsia" w:ascii="Times New Roman" w:hAnsi="Times New Roman" w:eastAsia="宋体" w:cs="Times New Roman"/>
                <w:szCs w:val="22"/>
              </w:rPr>
              <w:t>。</w:t>
            </w:r>
          </w:p>
          <w:p>
            <w:pPr>
              <w:spacing w:line="400" w:lineRule="exact"/>
              <w:ind w:firstLine="420" w:firstLineChars="200"/>
              <w:jc w:val="left"/>
              <w:rPr>
                <w:rFonts w:hint="eastAsia"/>
                <w:szCs w:val="22"/>
              </w:rPr>
            </w:pPr>
            <w:r>
              <w:rPr>
                <w:rFonts w:hint="eastAsia"/>
                <w:szCs w:val="22"/>
              </w:rPr>
              <w:t>抽查：组织机构图、职能分配表、职责描述，基本保持一致。</w:t>
            </w:r>
          </w:p>
          <w:p>
            <w:pPr>
              <w:spacing w:line="400" w:lineRule="exact"/>
              <w:ind w:firstLine="420" w:firstLineChars="200"/>
              <w:jc w:val="left"/>
              <w:rPr>
                <w:rFonts w:hint="eastAsia"/>
                <w:szCs w:val="22"/>
              </w:rPr>
            </w:pPr>
            <w:r>
              <w:rPr>
                <w:rFonts w:hint="eastAsia"/>
                <w:szCs w:val="22"/>
              </w:rPr>
              <w:t>核实：</w:t>
            </w:r>
            <w:r>
              <w:rPr>
                <w:rFonts w:hint="eastAsia"/>
                <w:szCs w:val="22"/>
                <w:lang w:eastAsia="zh-CN"/>
              </w:rPr>
              <w:t>注册地址</w:t>
            </w:r>
            <w:r>
              <w:rPr>
                <w:rFonts w:hint="eastAsia"/>
                <w:szCs w:val="22"/>
                <w:lang w:val="en-US" w:eastAsia="zh-CN"/>
              </w:rPr>
              <w:t>:</w:t>
            </w:r>
            <w:r>
              <w:t>重庆市江北区观音桥街道西环路8号2幢21-17</w:t>
            </w:r>
          </w:p>
          <w:p>
            <w:pPr>
              <w:spacing w:line="400" w:lineRule="exact"/>
              <w:ind w:firstLine="420" w:firstLineChars="200"/>
              <w:jc w:val="left"/>
              <w:rPr>
                <w:rFonts w:hint="eastAsia"/>
                <w:szCs w:val="22"/>
              </w:rPr>
            </w:pPr>
            <w:r>
              <w:rPr>
                <w:rFonts w:hint="eastAsia"/>
                <w:szCs w:val="22"/>
              </w:rPr>
              <w:t>生产经营场所为</w:t>
            </w:r>
            <w:r>
              <w:rPr>
                <w:rFonts w:hint="eastAsia"/>
                <w:szCs w:val="22"/>
                <w:lang w:eastAsia="zh-CN"/>
              </w:rPr>
              <w:t>：</w:t>
            </w:r>
            <w:bookmarkStart w:id="3" w:name="生产地址"/>
            <w:r>
              <w:t>重庆市北碚区金华路200号职教中心内</w:t>
            </w:r>
            <w:bookmarkEnd w:id="3"/>
            <w:r>
              <w:rPr>
                <w:rFonts w:hint="eastAsia"/>
                <w:szCs w:val="22"/>
              </w:rPr>
              <w:t>，与任务书一致。</w:t>
            </w:r>
          </w:p>
          <w:p>
            <w:pPr>
              <w:spacing w:line="400" w:lineRule="exact"/>
              <w:ind w:firstLine="420" w:firstLineChars="200"/>
              <w:jc w:val="left"/>
              <w:rPr>
                <w:rFonts w:hint="eastAsia"/>
                <w:color w:val="000000" w:themeColor="text1"/>
                <w:szCs w:val="22"/>
                <w:highlight w:val="none"/>
                <w:lang w:eastAsia="zh-CN"/>
              </w:rPr>
            </w:pPr>
            <w:r>
              <w:rPr>
                <w:rFonts w:hint="eastAsia"/>
                <w:szCs w:val="22"/>
                <w:lang w:eastAsia="zh-CN"/>
              </w:rPr>
              <w:t>经确</w:t>
            </w:r>
            <w:r>
              <w:rPr>
                <w:rFonts w:hint="eastAsia"/>
                <w:color w:val="000000" w:themeColor="text1"/>
                <w:szCs w:val="22"/>
                <w:lang w:eastAsia="zh-CN"/>
              </w:rPr>
              <w:t>认，认</w:t>
            </w:r>
            <w:r>
              <w:rPr>
                <w:rFonts w:hint="eastAsia"/>
                <w:color w:val="000000" w:themeColor="text1"/>
                <w:szCs w:val="22"/>
                <w:highlight w:val="none"/>
                <w:lang w:eastAsia="zh-CN"/>
              </w:rPr>
              <w:t>证范围为：</w:t>
            </w:r>
            <w:r>
              <w:rPr>
                <w:rFonts w:hint="eastAsia" w:ascii="宋体" w:hAnsi="宋体"/>
                <w:color w:val="000000" w:themeColor="text1"/>
                <w:szCs w:val="21"/>
                <w:highlight w:val="none"/>
                <w:lang w:eastAsia="zh-CN"/>
              </w:rPr>
              <w:t xml:space="preserve">电子产品、光纤产品的销售及进出口贸易 </w:t>
            </w:r>
            <w:r>
              <w:rPr>
                <w:rFonts w:hint="eastAsia"/>
                <w:color w:val="000000" w:themeColor="text1"/>
                <w:szCs w:val="22"/>
                <w:highlight w:val="none"/>
                <w:lang w:eastAsia="zh-CN"/>
              </w:rPr>
              <w:t>，与申请范围一致。</w:t>
            </w:r>
          </w:p>
          <w:p>
            <w:pPr>
              <w:spacing w:line="400" w:lineRule="exact"/>
              <w:ind w:firstLine="420" w:firstLineChars="200"/>
              <w:jc w:val="left"/>
              <w:rPr>
                <w:rFonts w:hint="eastAsia" w:ascii="宋体" w:hAnsi="宋体"/>
                <w:color w:val="auto"/>
                <w:sz w:val="21"/>
                <w:szCs w:val="21"/>
                <w:highlight w:val="yellow"/>
                <w:lang w:val="en-US" w:eastAsia="zh-CN"/>
              </w:rPr>
            </w:pPr>
            <w:r>
              <w:rPr>
                <w:rFonts w:hint="eastAsia"/>
                <w:color w:val="000000" w:themeColor="text1"/>
                <w:szCs w:val="22"/>
                <w:highlight w:val="none"/>
                <w:lang w:eastAsia="zh-CN"/>
              </w:rPr>
              <w:t>询问，主要</w:t>
            </w:r>
            <w:r>
              <w:rPr>
                <w:rFonts w:hint="eastAsia"/>
                <w:color w:val="auto"/>
                <w:szCs w:val="22"/>
                <w:highlight w:val="none"/>
                <w:lang w:eastAsia="zh-CN"/>
              </w:rPr>
              <w:t>设备</w:t>
            </w:r>
            <w:r>
              <w:rPr>
                <w:rFonts w:hint="eastAsia"/>
                <w:color w:val="auto"/>
                <w:szCs w:val="22"/>
                <w:highlight w:val="none"/>
                <w:lang w:val="en-US" w:eastAsia="zh-CN"/>
              </w:rPr>
              <w:t>电脑、打印机、空调等办公设备</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lang w:val="en-US" w:eastAsia="zh-CN"/>
              </w:rPr>
              <w:t>特殊过程：销售过程，无外包过程。</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体系运行时间：2020年05月25日。</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组织实际与管理体系文件化信息描述基本一致。有管理层、综合部、市场部。</w:t>
            </w:r>
          </w:p>
          <w:p>
            <w:pPr>
              <w:spacing w:line="400" w:lineRule="exact"/>
              <w:ind w:firstLine="420" w:firstLineChars="200"/>
              <w:jc w:val="left"/>
              <w:rPr>
                <w:rFonts w:hint="eastAsia"/>
                <w:szCs w:val="22"/>
              </w:rPr>
            </w:pPr>
            <w:r>
              <w:rPr>
                <w:rFonts w:hint="eastAsia"/>
                <w:szCs w:val="22"/>
              </w:rPr>
              <w:t>查见《相关方要求识别和控制》</w:t>
            </w:r>
          </w:p>
          <w:p>
            <w:pPr>
              <w:spacing w:line="400" w:lineRule="exact"/>
              <w:ind w:firstLine="420" w:firstLineChars="200"/>
              <w:jc w:val="left"/>
              <w:rPr>
                <w:rFonts w:hint="eastAsia"/>
                <w:szCs w:val="22"/>
                <w:highlight w:val="none"/>
              </w:rPr>
            </w:pPr>
            <w:r>
              <w:rPr>
                <w:rFonts w:hint="eastAsia"/>
                <w:szCs w:val="22"/>
              </w:rPr>
              <w:t>相关方：有员工、银行、主管部门、供应商、客</w:t>
            </w:r>
            <w:r>
              <w:rPr>
                <w:rFonts w:hint="eastAsia"/>
                <w:szCs w:val="22"/>
                <w:highlight w:val="none"/>
              </w:rPr>
              <w:t>户等。</w:t>
            </w:r>
          </w:p>
          <w:p>
            <w:pPr>
              <w:spacing w:line="400" w:lineRule="exact"/>
              <w:ind w:firstLine="420" w:firstLineChars="200"/>
              <w:jc w:val="left"/>
              <w:rPr>
                <w:rFonts w:hint="eastAsia"/>
                <w:szCs w:val="22"/>
                <w:highlight w:val="none"/>
              </w:rPr>
            </w:pPr>
            <w:r>
              <w:rPr>
                <w:rFonts w:hint="eastAsia"/>
                <w:szCs w:val="22"/>
                <w:highlight w:val="none"/>
              </w:rPr>
              <w:t>产品流程见《工艺流程</w:t>
            </w:r>
            <w:r>
              <w:rPr>
                <w:rFonts w:hint="eastAsia"/>
                <w:szCs w:val="22"/>
                <w:highlight w:val="none"/>
                <w:lang w:eastAsia="zh-CN"/>
              </w:rPr>
              <w:t>图</w:t>
            </w:r>
            <w:r>
              <w:rPr>
                <w:rFonts w:hint="eastAsia"/>
                <w:szCs w:val="22"/>
                <w:highlight w:val="none"/>
              </w:rPr>
              <w:t>》</w:t>
            </w:r>
          </w:p>
          <w:p>
            <w:pPr>
              <w:spacing w:line="400" w:lineRule="exact"/>
              <w:ind w:firstLine="420" w:firstLineChars="200"/>
              <w:jc w:val="left"/>
              <w:rPr>
                <w:rFonts w:hint="eastAsia"/>
                <w:szCs w:val="22"/>
              </w:rPr>
            </w:pPr>
            <w:r>
              <w:rPr>
                <w:rFonts w:hint="eastAsia"/>
                <w:szCs w:val="22"/>
                <w:highlight w:val="none"/>
              </w:rPr>
              <w:t>查，管理体系文件名称：质量手册，程序文</w:t>
            </w:r>
            <w:r>
              <w:rPr>
                <w:rFonts w:hint="eastAsia"/>
                <w:szCs w:val="22"/>
                <w:highlight w:val="none"/>
                <w:lang w:val="en-US" w:eastAsia="zh-CN"/>
              </w:rPr>
              <w:t>件19</w:t>
            </w:r>
            <w:r>
              <w:rPr>
                <w:rFonts w:hint="eastAsia"/>
                <w:szCs w:val="22"/>
                <w:highlight w:val="none"/>
              </w:rPr>
              <w:t>个。</w:t>
            </w:r>
          </w:p>
        </w:tc>
        <w:tc>
          <w:tcPr>
            <w:tcW w:w="917" w:type="dxa"/>
            <w:noWrap w:val="0"/>
            <w:vAlign w:val="top"/>
          </w:tcPr>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tc>
        <w:tc>
          <w:tcPr>
            <w:tcW w:w="1185"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129"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eastAsia="宋体"/>
                <w:sz w:val="21"/>
                <w:szCs w:val="21"/>
                <w:lang w:eastAsia="zh-CN"/>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907" w:type="dxa"/>
            <w:noWrap w:val="0"/>
            <w:vAlign w:val="top"/>
          </w:tcPr>
          <w:p>
            <w:pPr>
              <w:widowControl/>
              <w:spacing w:line="400" w:lineRule="exact"/>
              <w:rPr>
                <w:rFonts w:hint="eastAsia" w:ascii="宋体" w:hAnsi="宋体"/>
                <w:sz w:val="21"/>
                <w:szCs w:val="21"/>
              </w:rPr>
            </w:pPr>
            <w:r>
              <w:rPr>
                <w:rFonts w:hint="eastAsia" w:ascii="宋体" w:hAnsi="宋体"/>
                <w:sz w:val="21"/>
                <w:szCs w:val="21"/>
              </w:rPr>
              <w:t>中华人民共和国合同法、中华人民共和国</w:t>
            </w:r>
            <w:r>
              <w:rPr>
                <w:rFonts w:hint="eastAsia" w:ascii="宋体" w:hAnsi="宋体"/>
                <w:sz w:val="21"/>
                <w:szCs w:val="21"/>
                <w:lang w:eastAsia="zh-CN"/>
              </w:rPr>
              <w:t>消费者权益保护法</w:t>
            </w:r>
            <w:r>
              <w:rPr>
                <w:rFonts w:hint="eastAsia" w:ascii="宋体" w:hAnsi="宋体"/>
                <w:sz w:val="21"/>
                <w:szCs w:val="21"/>
              </w:rPr>
              <w:t>、中华人民共和国</w:t>
            </w:r>
            <w:r>
              <w:rPr>
                <w:rFonts w:hint="eastAsia" w:ascii="宋体" w:hAnsi="宋体"/>
                <w:sz w:val="21"/>
                <w:szCs w:val="21"/>
                <w:lang w:eastAsia="zh-CN"/>
              </w:rPr>
              <w:t>价格法</w:t>
            </w:r>
            <w:r>
              <w:rPr>
                <w:rFonts w:hint="eastAsia" w:ascii="宋体" w:hAnsi="宋体"/>
                <w:sz w:val="21"/>
                <w:szCs w:val="21"/>
              </w:rPr>
              <w:t>、中华人民共和国产品质量法。</w:t>
            </w:r>
          </w:p>
          <w:p>
            <w:pPr>
              <w:widowControl/>
              <w:spacing w:line="400" w:lineRule="exact"/>
              <w:rPr>
                <w:rFonts w:hint="eastAsia" w:ascii="宋体" w:hAnsi="宋体"/>
                <w:sz w:val="21"/>
                <w:szCs w:val="21"/>
              </w:rPr>
            </w:pPr>
          </w:p>
          <w:p>
            <w:pPr>
              <w:widowControl/>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GB/T 14733.12-2008电信术语 光纤通信、</w:t>
            </w:r>
            <w:r>
              <w:rPr>
                <w:rFonts w:hint="default" w:ascii="宋体" w:hAnsi="宋体"/>
                <w:color w:val="auto"/>
                <w:sz w:val="21"/>
                <w:szCs w:val="21"/>
                <w:lang w:val="en-US" w:eastAsia="zh-CN"/>
              </w:rPr>
              <w:t>DL/T 1894-2018</w:t>
            </w:r>
            <w:r>
              <w:rPr>
                <w:rFonts w:hint="eastAsia" w:ascii="宋体" w:hAnsi="宋体"/>
                <w:color w:val="auto"/>
                <w:sz w:val="21"/>
                <w:szCs w:val="21"/>
                <w:lang w:val="en-US" w:eastAsia="zh-CN"/>
              </w:rPr>
              <w:t>电力光纤传感器通用规范等标准及客户合同要求。</w:t>
            </w:r>
          </w:p>
          <w:p>
            <w:pPr>
              <w:widowControl/>
              <w:spacing w:line="400" w:lineRule="exact"/>
              <w:rPr>
                <w:rFonts w:hint="eastAsia" w:ascii="宋体" w:hAnsi="宋体"/>
                <w:sz w:val="21"/>
                <w:szCs w:val="21"/>
                <w:lang w:val="en-US" w:eastAsia="zh-CN"/>
              </w:rPr>
            </w:pPr>
          </w:p>
          <w:p>
            <w:pPr>
              <w:widowControl/>
              <w:spacing w:line="400" w:lineRule="exact"/>
              <w:rPr>
                <w:rFonts w:hint="eastAsia" w:ascii="宋体" w:hAnsi="宋体"/>
                <w:color w:val="FF0000"/>
                <w:sz w:val="21"/>
                <w:szCs w:val="21"/>
              </w:rPr>
            </w:pPr>
            <w:r>
              <w:rPr>
                <w:rFonts w:hint="eastAsia" w:ascii="宋体" w:hAnsi="宋体"/>
                <w:sz w:val="21"/>
                <w:szCs w:val="21"/>
                <w:highlight w:val="none"/>
                <w:lang w:val="en-US" w:eastAsia="zh-CN"/>
              </w:rPr>
              <w:t>2021年暂无抽检。</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9"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pStyle w:val="2"/>
              <w:rPr>
                <w:rFonts w:hint="eastAsia"/>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pStyle w:val="15"/>
              <w:rPr>
                <w:rFonts w:hint="eastAsia"/>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907" w:type="dxa"/>
            <w:noWrap w:val="0"/>
            <w:vAlign w:val="top"/>
          </w:tcPr>
          <w:p>
            <w:pPr>
              <w:spacing w:line="360" w:lineRule="auto"/>
              <w:rPr>
                <w:rFonts w:hint="eastAsia" w:ascii="宋体" w:hAnsi="宋体" w:eastAsia="宋体"/>
                <w:color w:val="auto"/>
                <w:szCs w:val="22"/>
                <w:highlight w:val="none"/>
                <w:lang w:val="en-US" w:eastAsia="zh-CN"/>
              </w:rPr>
            </w:pPr>
            <w:r>
              <w:rPr>
                <w:rFonts w:hint="eastAsia" w:ascii="宋体" w:hAnsi="宋体" w:eastAsia="宋体"/>
                <w:color w:val="auto"/>
                <w:szCs w:val="22"/>
                <w:highlight w:val="none"/>
                <w:lang w:eastAsia="zh-CN"/>
              </w:rPr>
              <w:t>销售</w:t>
            </w:r>
            <w:r>
              <w:rPr>
                <w:rFonts w:hint="eastAsia" w:ascii="宋体" w:hAnsi="宋体"/>
                <w:color w:val="auto"/>
                <w:szCs w:val="22"/>
                <w:highlight w:val="none"/>
                <w:lang w:val="en-US" w:eastAsia="zh-CN"/>
              </w:rPr>
              <w:t>流</w:t>
            </w:r>
            <w:r>
              <w:rPr>
                <w:rFonts w:hint="eastAsia" w:ascii="宋体" w:hAnsi="宋体" w:eastAsia="宋体"/>
                <w:color w:val="auto"/>
                <w:szCs w:val="22"/>
                <w:highlight w:val="none"/>
                <w:lang w:eastAsia="zh-CN"/>
              </w:rPr>
              <w:t>程：</w:t>
            </w:r>
            <w:r>
              <w:rPr>
                <w:rFonts w:hint="eastAsia" w:ascii="宋体" w:hAnsi="宋体" w:eastAsia="宋体"/>
                <w:color w:val="auto"/>
                <w:szCs w:val="22"/>
                <w:highlight w:val="none"/>
                <w:lang w:val="en-US" w:eastAsia="zh-CN"/>
              </w:rPr>
              <w:t>顾客需求—签订销售协议—采购—货物报关（进出口贸易）—验收—交付—售后</w:t>
            </w:r>
          </w:p>
          <w:p>
            <w:pPr>
              <w:pStyle w:val="15"/>
              <w:rPr>
                <w:rFonts w:hint="eastAsia"/>
                <w:highlight w:val="none"/>
                <w:lang w:eastAsia="zh-CN"/>
              </w:rPr>
            </w:pPr>
            <w:r>
              <w:rPr>
                <w:rFonts w:hint="eastAsia" w:ascii="宋体" w:hAnsi="宋体"/>
                <w:szCs w:val="21"/>
                <w:highlight w:val="none"/>
              </w:rPr>
              <w:t>需确认过程：销售过程</w:t>
            </w:r>
            <w:r>
              <w:rPr>
                <w:rFonts w:hint="eastAsia" w:ascii="宋体" w:hAnsi="宋体" w:cs="宋体"/>
                <w:szCs w:val="21"/>
                <w:highlight w:val="none"/>
                <w:lang w:eastAsia="zh-CN"/>
              </w:rPr>
              <w:t>，也是关键过程</w:t>
            </w:r>
          </w:p>
          <w:p>
            <w:pPr>
              <w:spacing w:line="360" w:lineRule="auto"/>
              <w:ind w:firstLine="420" w:firstLineChars="200"/>
              <w:rPr>
                <w:rFonts w:hint="eastAsia" w:ascii="宋体" w:hAnsi="宋体"/>
                <w:sz w:val="21"/>
                <w:szCs w:val="21"/>
                <w:lang w:eastAsia="zh-CN"/>
              </w:rPr>
            </w:pPr>
            <w:bookmarkStart w:id="4" w:name="_GoBack"/>
            <w:bookmarkEnd w:id="4"/>
          </w:p>
          <w:p>
            <w:pPr>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lang w:eastAsia="zh-CN"/>
              </w:rPr>
              <w:t>根据组织产品和服务特点，按照顾客的购买要求出售商品，不需要进一步细化顾客的要求，整个销售过程不涉及设计开发。故GB/T19001-2016标准8.3条款不适用，对于该条款的不适用不影响组织向顾客提供合格产品、服务及满足相关法律法规要求的能力和责任</w:t>
            </w:r>
            <w:r>
              <w:rPr>
                <w:rFonts w:hint="eastAsia" w:ascii="宋体" w:hAnsi="宋体" w:cs="宋体"/>
                <w:color w:val="000000"/>
                <w:szCs w:val="21"/>
                <w:lang w:eastAsia="zh-CN"/>
              </w:rPr>
              <w:t>。</w:t>
            </w:r>
          </w:p>
          <w:p>
            <w:pPr>
              <w:widowControl/>
              <w:spacing w:line="400" w:lineRule="exact"/>
              <w:rPr>
                <w:rFonts w:hint="eastAsia" w:ascii="宋体" w:hAnsi="宋体"/>
                <w:sz w:val="21"/>
                <w:szCs w:val="21"/>
                <w:lang w:eastAsia="zh-CN"/>
              </w:rPr>
            </w:pPr>
            <w:r>
              <w:rPr>
                <w:rFonts w:hint="eastAsia" w:ascii="宋体" w:hAnsi="宋体"/>
                <w:sz w:val="21"/>
                <w:szCs w:val="21"/>
                <w:lang w:eastAsia="zh-CN"/>
              </w:rPr>
              <w:t xml:space="preserve">   </w:t>
            </w:r>
          </w:p>
          <w:p>
            <w:pPr>
              <w:widowControl/>
              <w:spacing w:line="400" w:lineRule="exact"/>
              <w:rPr>
                <w:rFonts w:hint="eastAsia" w:ascii="宋体" w:hAnsi="宋体" w:eastAsia="宋体"/>
                <w:szCs w:val="22"/>
                <w:lang w:val="en-US" w:eastAsia="zh-CN"/>
              </w:rPr>
            </w:pPr>
            <w:r>
              <w:rPr>
                <w:rFonts w:hint="eastAsia" w:ascii="宋体" w:hAnsi="宋体" w:eastAsia="宋体"/>
                <w:szCs w:val="22"/>
                <w:lang w:val="en-US" w:eastAsia="zh-CN"/>
              </w:rPr>
              <w:t>无</w:t>
            </w:r>
          </w:p>
          <w:p>
            <w:pPr>
              <w:pStyle w:val="5"/>
              <w:numPr>
                <w:ilvl w:val="0"/>
                <w:numId w:val="0"/>
              </w:numPr>
              <w:tabs>
                <w:tab w:val="left" w:pos="1260"/>
              </w:tabs>
              <w:rPr>
                <w:rFonts w:hint="eastAsia" w:ascii="宋体" w:hAnsi="宋体" w:eastAsia="宋体" w:cs="Times New Roman"/>
                <w:kern w:val="2"/>
                <w:sz w:val="21"/>
                <w:szCs w:val="21"/>
                <w:lang w:val="en-US" w:eastAsia="zh-CN" w:bidi="ar-SA"/>
              </w:rPr>
            </w:pPr>
          </w:p>
          <w:p>
            <w:pPr>
              <w:ind w:firstLine="480"/>
              <w:rPr>
                <w:rFonts w:hint="eastAsia" w:ascii="宋体" w:hAnsi="宋体" w:eastAsia="宋体" w:cs="宋体"/>
                <w:b/>
                <w:bCs/>
                <w:szCs w:val="24"/>
                <w:lang w:eastAsia="zh-CN"/>
              </w:rPr>
            </w:pPr>
          </w:p>
          <w:p>
            <w:pPr>
              <w:ind w:firstLine="480"/>
              <w:rPr>
                <w:rFonts w:hint="eastAsia" w:ascii="宋体" w:hAnsi="宋体" w:eastAsia="宋体" w:cs="宋体"/>
                <w:b w:val="0"/>
                <w:bCs w:val="0"/>
                <w:szCs w:val="24"/>
              </w:rPr>
            </w:pPr>
            <w:r>
              <w:rPr>
                <w:rFonts w:hint="eastAsia" w:ascii="宋体" w:hAnsi="宋体" w:eastAsia="宋体" w:cs="宋体"/>
                <w:b w:val="0"/>
                <w:bCs w:val="0"/>
                <w:szCs w:val="24"/>
                <w:lang w:eastAsia="zh-CN"/>
              </w:rPr>
              <w:t>a</w:t>
            </w:r>
            <w:r>
              <w:rPr>
                <w:rFonts w:hint="eastAsia" w:ascii="宋体" w:hAnsi="宋体" w:eastAsia="宋体" w:cs="宋体"/>
                <w:b w:val="0"/>
                <w:bCs w:val="0"/>
                <w:szCs w:val="24"/>
              </w:rPr>
              <w:t>、</w:t>
            </w:r>
            <w:r>
              <w:rPr>
                <w:rFonts w:hint="eastAsia" w:ascii="宋体" w:hAnsi="宋体" w:eastAsia="宋体" w:cs="宋体"/>
                <w:b w:val="0"/>
                <w:bCs w:val="0"/>
                <w:szCs w:val="24"/>
                <w:lang w:eastAsia="zh-CN"/>
              </w:rPr>
              <w:t>产品及时交付率100%</w:t>
            </w:r>
            <w:r>
              <w:rPr>
                <w:rFonts w:hint="eastAsia" w:ascii="宋体" w:hAnsi="宋体" w:eastAsia="宋体" w:cs="宋体"/>
                <w:b w:val="0"/>
                <w:bCs w:val="0"/>
                <w:szCs w:val="24"/>
              </w:rPr>
              <w:t>；</w:t>
            </w:r>
          </w:p>
          <w:p>
            <w:pPr>
              <w:ind w:firstLine="480"/>
              <w:rPr>
                <w:rFonts w:hint="eastAsia" w:ascii="宋体" w:hAnsi="宋体"/>
                <w:sz w:val="21"/>
                <w:szCs w:val="21"/>
              </w:rPr>
            </w:pPr>
            <w:r>
              <w:rPr>
                <w:rFonts w:hint="eastAsia" w:ascii="宋体" w:hAnsi="宋体" w:eastAsia="宋体" w:cs="宋体"/>
                <w:b w:val="0"/>
                <w:bCs w:val="0"/>
                <w:szCs w:val="24"/>
                <w:lang w:eastAsia="zh-CN"/>
              </w:rPr>
              <w:t>b</w:t>
            </w:r>
            <w:r>
              <w:rPr>
                <w:rFonts w:hint="eastAsia" w:ascii="宋体" w:hAnsi="宋体" w:eastAsia="宋体" w:cs="宋体"/>
                <w:b w:val="0"/>
                <w:bCs w:val="0"/>
                <w:szCs w:val="24"/>
              </w:rPr>
              <w:t>、</w:t>
            </w:r>
            <w:r>
              <w:rPr>
                <w:rFonts w:hint="eastAsia" w:ascii="宋体" w:hAnsi="宋体" w:eastAsia="宋体" w:cs="宋体"/>
                <w:b w:val="0"/>
                <w:bCs w:val="0"/>
                <w:szCs w:val="24"/>
                <w:lang w:eastAsia="zh-CN"/>
              </w:rPr>
              <w:t>客户满意度≥90分</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r>
              <w:rPr>
                <w:sz w:val="20"/>
              </w:rPr>
              <w:t>紧固件（锁销类）、检测仪器设备、汽车行业工位器具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129"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907" w:type="dxa"/>
            <w:noWrap w:val="0"/>
            <w:vAlign w:val="top"/>
          </w:tcPr>
          <w:p>
            <w:pPr>
              <w:spacing w:line="400" w:lineRule="exact"/>
              <w:rPr>
                <w:rFonts w:hint="eastAsia"/>
                <w:color w:val="1D41D5"/>
                <w:sz w:val="21"/>
                <w:szCs w:val="21"/>
                <w:highlight w:val="none"/>
                <w:lang w:val="en-US" w:eastAsia="zh-CN"/>
              </w:rPr>
            </w:pPr>
            <w:r>
              <w:rPr>
                <w:rFonts w:hint="eastAsia"/>
                <w:sz w:val="21"/>
                <w:szCs w:val="21"/>
                <w:lang w:val="en-US" w:eastAsia="zh-CN"/>
              </w:rPr>
              <w:t>无</w:t>
            </w:r>
          </w:p>
          <w:p>
            <w:pPr>
              <w:spacing w:line="400" w:lineRule="exact"/>
              <w:rPr>
                <w:rFonts w:hint="eastAsia"/>
                <w:sz w:val="21"/>
                <w:szCs w:val="21"/>
                <w:lang w:val="en-US" w:eastAsia="zh-CN"/>
              </w:rPr>
            </w:pPr>
            <w:r>
              <w:rPr>
                <w:rFonts w:hint="eastAsia"/>
                <w:color w:val="auto"/>
                <w:szCs w:val="22"/>
                <w:highlight w:val="none"/>
                <w:lang w:val="en-US" w:eastAsia="zh-CN"/>
              </w:rPr>
              <w:t>办公用品、产品（</w:t>
            </w:r>
            <w:r>
              <w:rPr>
                <w:rFonts w:hint="eastAsia"/>
                <w:sz w:val="20"/>
                <w:highlight w:val="none"/>
              </w:rPr>
              <w:t>老化板、焊接板、滤波模块、光纤跳线、光分路器</w:t>
            </w:r>
            <w:r>
              <w:rPr>
                <w:rFonts w:hint="eastAsia"/>
                <w:szCs w:val="22"/>
                <w:highlight w:val="none"/>
                <w:lang w:val="en-US" w:eastAsia="zh-CN"/>
              </w:rPr>
              <w:t>）等。</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3129"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rPr>
            </w:pPr>
            <w:r>
              <w:rPr>
                <w:rFonts w:hint="eastAsia"/>
                <w:sz w:val="21"/>
                <w:szCs w:val="21"/>
              </w:rPr>
              <w:t>关键岗位上岗人员</w:t>
            </w:r>
          </w:p>
          <w:p>
            <w:pPr>
              <w:spacing w:line="400" w:lineRule="exact"/>
              <w:rPr>
                <w:rFonts w:hint="eastAsia"/>
                <w:sz w:val="21"/>
                <w:szCs w:val="21"/>
              </w:rPr>
            </w:pPr>
            <w:r>
              <w:rPr>
                <w:rFonts w:hint="eastAsia"/>
                <w:sz w:val="21"/>
                <w:szCs w:val="21"/>
              </w:rPr>
              <w:t>特殊工种人员</w:t>
            </w:r>
          </w:p>
        </w:tc>
        <w:tc>
          <w:tcPr>
            <w:tcW w:w="9907" w:type="dxa"/>
            <w:noWrap w:val="0"/>
            <w:vAlign w:val="top"/>
          </w:tcPr>
          <w:p>
            <w:pPr>
              <w:spacing w:line="400" w:lineRule="exact"/>
              <w:rPr>
                <w:rFonts w:hint="eastAsia"/>
                <w:szCs w:val="22"/>
                <w:lang w:val="en-US" w:eastAsia="zh-CN"/>
              </w:rPr>
            </w:pPr>
            <w:r>
              <w:rPr>
                <w:rFonts w:hint="eastAsia"/>
                <w:lang w:val="en-US" w:eastAsia="zh-CN"/>
              </w:rPr>
              <w:t>14</w:t>
            </w:r>
            <w:r>
              <w:rPr>
                <w:rFonts w:hint="eastAsia"/>
                <w:szCs w:val="22"/>
                <w:lang w:val="en-US" w:eastAsia="zh-CN"/>
              </w:rPr>
              <w:t>人</w:t>
            </w:r>
          </w:p>
          <w:p>
            <w:pPr>
              <w:spacing w:line="400" w:lineRule="exact"/>
              <w:rPr>
                <w:rFonts w:hint="eastAsia"/>
                <w:szCs w:val="22"/>
                <w:lang w:val="en-US" w:eastAsia="zh-CN"/>
              </w:rPr>
            </w:pPr>
            <w:r>
              <w:rPr>
                <w:rFonts w:hint="eastAsia"/>
                <w:szCs w:val="22"/>
                <w:lang w:val="en-US" w:eastAsia="zh-CN"/>
              </w:rPr>
              <w:t>销售人员</w:t>
            </w:r>
          </w:p>
          <w:p>
            <w:pPr>
              <w:spacing w:line="400" w:lineRule="exact"/>
              <w:rPr>
                <w:rFonts w:hint="default"/>
                <w:lang w:val="en-US" w:eastAsia="zh-CN"/>
              </w:rPr>
            </w:pPr>
            <w:r>
              <w:rPr>
                <w:rFonts w:hint="eastAsia"/>
                <w:szCs w:val="22"/>
                <w:lang w:val="en-US" w:eastAsia="zh-CN"/>
              </w:rPr>
              <w:t>无</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129" w:type="dxa"/>
            <w:noWrap w:val="0"/>
            <w:vAlign w:val="top"/>
          </w:tcPr>
          <w:p>
            <w:pPr>
              <w:spacing w:line="400" w:lineRule="exact"/>
              <w:rPr>
                <w:rFonts w:hint="eastAsia" w:ascii="宋体" w:hAnsi="宋体"/>
                <w:szCs w:val="21"/>
                <w:lang w:val="en-US" w:eastAsia="zh-CN"/>
              </w:rPr>
            </w:pPr>
            <w:r>
              <w:rPr>
                <w:rFonts w:hint="eastAsia" w:ascii="宋体" w:hAnsi="宋体"/>
                <w:szCs w:val="21"/>
                <w:lang w:val="en-US" w:eastAsia="zh-CN"/>
              </w:rPr>
              <w:t>主要生产设备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特种设备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主要检测设备及设备的检定/校准（QMS）</w:t>
            </w:r>
          </w:p>
        </w:tc>
        <w:tc>
          <w:tcPr>
            <w:tcW w:w="9907" w:type="dxa"/>
            <w:noWrap w:val="0"/>
            <w:vAlign w:val="top"/>
          </w:tcPr>
          <w:p>
            <w:pPr>
              <w:spacing w:line="400" w:lineRule="exact"/>
              <w:rPr>
                <w:rFonts w:hint="eastAsia" w:ascii="宋体" w:hAnsi="宋体"/>
                <w:color w:val="000000" w:themeColor="text1"/>
                <w:szCs w:val="21"/>
                <w:highlight w:val="yellow"/>
                <w:lang w:val="en-US" w:eastAsia="zh-CN"/>
              </w:rPr>
            </w:pPr>
            <w:r>
              <w:rPr>
                <w:rFonts w:hint="eastAsia"/>
                <w:color w:val="000000" w:themeColor="text1"/>
                <w:sz w:val="21"/>
                <w:szCs w:val="21"/>
                <w:highlight w:val="none"/>
                <w:lang w:val="en-US" w:eastAsia="zh-CN"/>
              </w:rPr>
              <w:t>主要设</w:t>
            </w:r>
            <w:r>
              <w:rPr>
                <w:rFonts w:hint="eastAsia" w:ascii="宋体" w:hAnsi="宋体"/>
                <w:color w:val="000000" w:themeColor="text1"/>
                <w:szCs w:val="21"/>
                <w:highlight w:val="none"/>
                <w:lang w:val="en-US" w:eastAsia="zh-CN"/>
              </w:rPr>
              <w:t>备</w:t>
            </w:r>
            <w:r>
              <w:rPr>
                <w:rFonts w:hint="eastAsia" w:ascii="宋体" w:hAnsi="宋体"/>
                <w:color w:val="auto"/>
                <w:szCs w:val="21"/>
                <w:highlight w:val="none"/>
                <w:lang w:val="en-US" w:eastAsia="zh-CN"/>
              </w:rPr>
              <w:t>为</w:t>
            </w:r>
            <w:r>
              <w:rPr>
                <w:rFonts w:hint="eastAsia" w:ascii="宋体" w:hAnsi="宋体"/>
                <w:color w:val="auto"/>
                <w:szCs w:val="21"/>
                <w:highlight w:val="none"/>
                <w:lang w:eastAsia="zh-CN"/>
              </w:rPr>
              <w:t>电脑、</w:t>
            </w:r>
            <w:r>
              <w:rPr>
                <w:rFonts w:hint="eastAsia" w:ascii="宋体" w:hAnsi="宋体"/>
                <w:color w:val="auto"/>
                <w:szCs w:val="21"/>
                <w:highlight w:val="none"/>
                <w:lang w:val="en-US" w:eastAsia="zh-CN"/>
              </w:rPr>
              <w:t>打印机，空调等</w:t>
            </w:r>
            <w:r>
              <w:rPr>
                <w:rFonts w:hint="eastAsia" w:ascii="宋体" w:hAnsi="宋体"/>
                <w:color w:val="auto"/>
                <w:szCs w:val="21"/>
                <w:highlight w:val="none"/>
                <w:lang w:eastAsia="zh-CN"/>
              </w:rPr>
              <w:t>办公设备</w:t>
            </w:r>
            <w:r>
              <w:rPr>
                <w:rFonts w:hint="eastAsia" w:ascii="宋体" w:hAnsi="宋体"/>
                <w:color w:val="000000" w:themeColor="text1"/>
                <w:szCs w:val="21"/>
                <w:highlight w:val="none"/>
                <w:lang w:val="en-US" w:eastAsia="zh-CN"/>
              </w:rPr>
              <w:t>等。可以满足</w:t>
            </w:r>
            <w:r>
              <w:rPr>
                <w:rFonts w:hint="eastAsia" w:ascii="宋体" w:hAnsi="宋体"/>
                <w:color w:val="000000" w:themeColor="text1"/>
                <w:szCs w:val="21"/>
                <w:highlight w:val="none"/>
                <w:lang w:eastAsia="zh-CN"/>
              </w:rPr>
              <w:t>电子产品、光纤产品的销售及进出口贸易</w:t>
            </w:r>
            <w:r>
              <w:rPr>
                <w:rFonts w:hint="eastAsia" w:ascii="宋体" w:hAnsi="宋体"/>
                <w:color w:val="000000" w:themeColor="text1"/>
                <w:szCs w:val="21"/>
                <w:highlight w:val="none"/>
                <w:lang w:val="en-US" w:eastAsia="zh-CN"/>
              </w:rPr>
              <w:t>需要。</w:t>
            </w:r>
          </w:p>
          <w:p>
            <w:pPr>
              <w:spacing w:line="400" w:lineRule="exact"/>
              <w:rPr>
                <w:rFonts w:hint="eastAsia" w:ascii="宋体" w:hAnsi="宋体"/>
                <w:color w:val="000000" w:themeColor="text1"/>
                <w:szCs w:val="21"/>
                <w:lang w:val="en-US" w:eastAsia="zh-CN"/>
              </w:rPr>
            </w:pP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无。</w:t>
            </w:r>
          </w:p>
          <w:p>
            <w:pPr>
              <w:spacing w:line="400" w:lineRule="exact"/>
              <w:rPr>
                <w:rFonts w:hint="eastAsia" w:ascii="宋体" w:hAnsi="宋体"/>
                <w:color w:val="000000" w:themeColor="text1"/>
                <w:szCs w:val="21"/>
                <w:lang w:val="en-US" w:eastAsia="zh-CN"/>
              </w:rPr>
            </w:pPr>
          </w:p>
          <w:p>
            <w:pPr>
              <w:spacing w:line="400" w:lineRule="exact"/>
              <w:rPr>
                <w:rFonts w:hint="default"/>
                <w:color w:val="0000FF"/>
                <w:sz w:val="21"/>
                <w:szCs w:val="21"/>
                <w:lang w:val="en-US" w:eastAsia="zh-CN"/>
              </w:rPr>
            </w:pPr>
            <w:r>
              <w:rPr>
                <w:rFonts w:hint="eastAsia" w:ascii="宋体" w:hAnsi="宋体" w:cs="宋体"/>
                <w:color w:val="auto"/>
                <w:sz w:val="21"/>
                <w:szCs w:val="21"/>
                <w:highlight w:val="none"/>
                <w:lang w:val="en-US" w:eastAsia="zh-CN"/>
              </w:rPr>
              <w:t>无</w:t>
            </w:r>
          </w:p>
        </w:tc>
        <w:tc>
          <w:tcPr>
            <w:tcW w:w="917"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ascii="Times New Roman" w:hAnsi="Times New Roman" w:eastAsia="宋体" w:cs="Times New Roman"/>
                <w:kern w:val="2"/>
                <w:sz w:val="21"/>
                <w:szCs w:val="21"/>
                <w:lang w:val="en-US" w:eastAsia="zh-CN" w:bidi="ar-SA"/>
              </w:rPr>
            </w:pPr>
          </w:p>
        </w:tc>
        <w:tc>
          <w:tcPr>
            <w:tcW w:w="1185"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129" w:type="dxa"/>
            <w:noWrap w:val="0"/>
            <w:vAlign w:val="top"/>
          </w:tcPr>
          <w:p>
            <w:pPr>
              <w:spacing w:line="400" w:lineRule="exact"/>
              <w:rPr>
                <w:rFonts w:hint="eastAsia"/>
                <w:sz w:val="21"/>
                <w:szCs w:val="21"/>
              </w:rPr>
            </w:pPr>
            <w:r>
              <w:rPr>
                <w:rFonts w:hint="eastAsia"/>
                <w:sz w:val="21"/>
                <w:szCs w:val="21"/>
              </w:rPr>
              <w:t>顾客及相关方投诉</w:t>
            </w:r>
          </w:p>
        </w:tc>
        <w:tc>
          <w:tcPr>
            <w:tcW w:w="9907" w:type="dxa"/>
            <w:noWrap w:val="0"/>
            <w:vAlign w:val="top"/>
          </w:tcPr>
          <w:p>
            <w:pPr>
              <w:spacing w:line="400" w:lineRule="exact"/>
              <w:rPr>
                <w:rFonts w:hint="eastAsia"/>
                <w:sz w:val="21"/>
                <w:szCs w:val="21"/>
              </w:rPr>
            </w:pPr>
            <w:r>
              <w:rPr>
                <w:rFonts w:hint="eastAsia"/>
                <w:sz w:val="21"/>
                <w:szCs w:val="21"/>
              </w:rPr>
              <w:t>暂无</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129" w:type="dxa"/>
            <w:noWrap w:val="0"/>
            <w:vAlign w:val="top"/>
          </w:tcPr>
          <w:p>
            <w:pPr>
              <w:spacing w:line="400" w:lineRule="exact"/>
              <w:rPr>
                <w:rFonts w:hint="eastAsia"/>
                <w:sz w:val="21"/>
                <w:szCs w:val="21"/>
              </w:rPr>
            </w:pPr>
            <w:r>
              <w:rPr>
                <w:rFonts w:hint="eastAsia"/>
                <w:sz w:val="21"/>
                <w:szCs w:val="21"/>
              </w:rPr>
              <w:t>方针及目标、指标及方案</w:t>
            </w:r>
          </w:p>
        </w:tc>
        <w:tc>
          <w:tcPr>
            <w:tcW w:w="9907" w:type="dxa"/>
            <w:noWrap w:val="0"/>
            <w:vAlign w:val="top"/>
          </w:tcPr>
          <w:p>
            <w:pPr>
              <w:rPr>
                <w:rFonts w:hint="eastAsia"/>
                <w:sz w:val="21"/>
                <w:szCs w:val="21"/>
              </w:rPr>
            </w:pPr>
            <w:r>
              <w:rPr>
                <w:rFonts w:hint="eastAsia"/>
                <w:sz w:val="21"/>
                <w:szCs w:val="21"/>
              </w:rPr>
              <w:t>方针</w:t>
            </w:r>
            <w:r>
              <w:rPr>
                <w:rFonts w:hint="eastAsia" w:ascii="Times New Roman" w:hAnsi="Times New Roman" w:eastAsia="宋体" w:cs="Times New Roman"/>
                <w:sz w:val="21"/>
                <w:szCs w:val="21"/>
              </w:rPr>
              <w:t>：诚信、务实、高效、坚卓</w:t>
            </w:r>
            <w:r>
              <w:rPr>
                <w:rFonts w:hint="eastAsia"/>
                <w:color w:val="auto"/>
                <w:sz w:val="21"/>
                <w:szCs w:val="21"/>
                <w:lang w:eastAsia="zh-CN"/>
              </w:rPr>
              <w:t>。</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129"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907" w:type="dxa"/>
            <w:noWrap w:val="0"/>
            <w:vAlign w:val="top"/>
          </w:tcPr>
          <w:p>
            <w:pPr>
              <w:spacing w:line="400" w:lineRule="exact"/>
              <w:rPr>
                <w:rFonts w:hint="eastAsia"/>
                <w:color w:val="000000" w:themeColor="text1"/>
                <w:sz w:val="21"/>
                <w:szCs w:val="21"/>
              </w:rPr>
            </w:pPr>
            <w:r>
              <w:rPr>
                <w:rFonts w:hint="eastAsia"/>
                <w:sz w:val="21"/>
                <w:szCs w:val="21"/>
              </w:rPr>
              <w:t>建立有《</w:t>
            </w:r>
            <w:r>
              <w:rPr>
                <w:rFonts w:hint="eastAsia"/>
                <w:sz w:val="21"/>
                <w:szCs w:val="21"/>
                <w:lang w:eastAsia="zh-CN"/>
              </w:rPr>
              <w:t>内部审核管理制度</w:t>
            </w:r>
            <w:r>
              <w:rPr>
                <w:rFonts w:hint="eastAsia"/>
                <w:color w:val="000000" w:themeColor="text1"/>
                <w:sz w:val="21"/>
                <w:szCs w:val="21"/>
              </w:rPr>
              <w:t>》</w:t>
            </w:r>
          </w:p>
          <w:p>
            <w:pPr>
              <w:spacing w:line="400" w:lineRule="exact"/>
              <w:rPr>
                <w:rFonts w:hint="eastAsia"/>
                <w:color w:val="000000" w:themeColor="text1"/>
                <w:sz w:val="21"/>
                <w:szCs w:val="21"/>
                <w:highlight w:val="none"/>
              </w:rPr>
            </w:pPr>
            <w:r>
              <w:rPr>
                <w:rFonts w:hint="eastAsia"/>
                <w:color w:val="000000" w:themeColor="text1"/>
                <w:sz w:val="21"/>
                <w:szCs w:val="21"/>
              </w:rPr>
              <w:t xml:space="preserve">见有《内部审核计划表》 </w:t>
            </w:r>
          </w:p>
          <w:p>
            <w:pPr>
              <w:spacing w:line="400" w:lineRule="exact"/>
              <w:rPr>
                <w:rFonts w:hint="eastAsia"/>
                <w:color w:val="000000" w:themeColor="text1"/>
                <w:sz w:val="21"/>
                <w:szCs w:val="21"/>
                <w:highlight w:val="none"/>
                <w:lang w:eastAsia="zh-CN"/>
              </w:rPr>
            </w:pPr>
            <w:r>
              <w:rPr>
                <w:rFonts w:hint="eastAsia"/>
                <w:color w:val="000000" w:themeColor="text1"/>
                <w:sz w:val="21"/>
                <w:szCs w:val="21"/>
                <w:highlight w:val="none"/>
              </w:rPr>
              <w:t>内审时间</w:t>
            </w:r>
            <w:r>
              <w:rPr>
                <w:rFonts w:hint="eastAsia"/>
                <w:color w:val="000000" w:themeColor="text1"/>
                <w:sz w:val="21"/>
                <w:szCs w:val="21"/>
                <w:highlight w:val="none"/>
                <w:lang w:eastAsia="zh-CN"/>
              </w:rPr>
              <w:t>：</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4</w:t>
            </w:r>
            <w:r>
              <w:rPr>
                <w:rFonts w:hint="eastAsia"/>
                <w:color w:val="auto"/>
                <w:sz w:val="21"/>
                <w:szCs w:val="21"/>
                <w:highlight w:val="none"/>
                <w:lang w:eastAsia="zh-CN"/>
              </w:rPr>
              <w:t>月</w:t>
            </w:r>
            <w:r>
              <w:rPr>
                <w:rFonts w:hint="eastAsia"/>
                <w:color w:val="auto"/>
                <w:sz w:val="21"/>
                <w:szCs w:val="21"/>
                <w:highlight w:val="none"/>
                <w:lang w:val="en-US" w:eastAsia="zh-CN"/>
              </w:rPr>
              <w:t>5</w:t>
            </w:r>
            <w:r>
              <w:rPr>
                <w:rFonts w:hint="eastAsia"/>
                <w:color w:val="auto"/>
                <w:sz w:val="21"/>
                <w:szCs w:val="21"/>
                <w:highlight w:val="none"/>
                <w:lang w:eastAsia="zh-CN"/>
              </w:rPr>
              <w:t>日</w:t>
            </w:r>
          </w:p>
          <w:p>
            <w:pPr>
              <w:rPr>
                <w:rFonts w:hint="eastAsia"/>
                <w:color w:val="000000" w:themeColor="text1"/>
                <w:sz w:val="21"/>
                <w:szCs w:val="21"/>
                <w:highlight w:val="none"/>
                <w:lang w:val="en-US" w:eastAsia="zh-CN"/>
              </w:rPr>
            </w:pPr>
            <w:r>
              <w:rPr>
                <w:rFonts w:hint="eastAsia"/>
                <w:color w:val="000000" w:themeColor="text1"/>
                <w:sz w:val="21"/>
                <w:szCs w:val="21"/>
                <w:highlight w:val="none"/>
                <w:lang w:eastAsia="zh-CN"/>
              </w:rPr>
              <w:t>审核组：组长：</w:t>
            </w:r>
            <w:r>
              <w:rPr>
                <w:rFonts w:hint="eastAsia"/>
                <w:color w:val="000000" w:themeColor="text1"/>
                <w:sz w:val="21"/>
                <w:szCs w:val="21"/>
                <w:highlight w:val="none"/>
                <w:lang w:val="en-US" w:eastAsia="zh-CN"/>
              </w:rPr>
              <w:t>周梦雅</w:t>
            </w:r>
            <w:r>
              <w:rPr>
                <w:rFonts w:hint="eastAsia"/>
                <w:color w:val="000000" w:themeColor="text1"/>
                <w:highlight w:val="none"/>
                <w:lang w:val="en-US" w:eastAsia="zh-CN"/>
              </w:rPr>
              <w:t xml:space="preserve"> </w:t>
            </w:r>
            <w:r>
              <w:rPr>
                <w:rFonts w:hint="eastAsia" w:ascii="宋体" w:hAnsi="宋体"/>
                <w:bCs/>
                <w:color w:val="000000" w:themeColor="text1"/>
                <w:highlight w:val="none"/>
              </w:rPr>
              <w:t>（A）</w:t>
            </w:r>
            <w:r>
              <w:rPr>
                <w:rFonts w:hint="eastAsia" w:ascii="宋体" w:hAnsi="宋体"/>
                <w:bCs/>
                <w:color w:val="000000" w:themeColor="text1"/>
                <w:highlight w:val="none"/>
                <w:lang w:val="en-US" w:eastAsia="zh-CN"/>
              </w:rPr>
              <w:t xml:space="preserve">    </w:t>
            </w:r>
            <w:r>
              <w:rPr>
                <w:rFonts w:hint="eastAsia" w:ascii="宋体" w:hAnsi="宋体"/>
                <w:bCs/>
                <w:color w:val="000000" w:themeColor="text1"/>
                <w:highlight w:val="none"/>
              </w:rPr>
              <w:t>组员：</w:t>
            </w:r>
            <w:r>
              <w:rPr>
                <w:rFonts w:hint="eastAsia" w:ascii="宋体" w:hAnsi="宋体"/>
                <w:bCs/>
                <w:color w:val="auto"/>
                <w:highlight w:val="none"/>
                <w:lang w:eastAsia="zh-CN"/>
              </w:rPr>
              <w:t>严小明</w:t>
            </w:r>
            <w:r>
              <w:rPr>
                <w:rFonts w:hint="eastAsia" w:ascii="宋体" w:hAnsi="宋体"/>
                <w:bCs/>
                <w:color w:val="auto"/>
                <w:highlight w:val="none"/>
              </w:rPr>
              <w:t xml:space="preserve">  （B）</w:t>
            </w:r>
          </w:p>
          <w:p>
            <w:pPr>
              <w:spacing w:line="400" w:lineRule="exact"/>
              <w:rPr>
                <w:rFonts w:hint="eastAsia"/>
                <w:sz w:val="21"/>
                <w:szCs w:val="21"/>
                <w:highlight w:val="none"/>
                <w:lang w:eastAsia="zh-CN"/>
              </w:rPr>
            </w:pPr>
            <w:r>
              <w:rPr>
                <w:rFonts w:hint="eastAsia"/>
                <w:sz w:val="21"/>
                <w:szCs w:val="21"/>
                <w:highlight w:val="none"/>
                <w:lang w:eastAsia="zh-CN"/>
              </w:rPr>
              <w:t>见有：《内审不符合项报告》</w:t>
            </w:r>
            <w:r>
              <w:rPr>
                <w:rFonts w:hint="eastAsia"/>
                <w:sz w:val="21"/>
                <w:szCs w:val="21"/>
                <w:highlight w:val="none"/>
                <w:lang w:val="en-US" w:eastAsia="zh-CN"/>
              </w:rPr>
              <w:t>1</w:t>
            </w:r>
            <w:r>
              <w:rPr>
                <w:rFonts w:hint="eastAsia"/>
                <w:sz w:val="21"/>
                <w:szCs w:val="21"/>
                <w:highlight w:val="none"/>
                <w:lang w:eastAsia="zh-CN"/>
              </w:rPr>
              <w:t>份，</w:t>
            </w:r>
            <w:r>
              <w:rPr>
                <w:rFonts w:hint="eastAsia" w:ascii="宋体" w:hAnsi="宋体" w:cs="宋体"/>
                <w:color w:val="auto"/>
                <w:szCs w:val="24"/>
                <w:highlight w:val="none"/>
                <w:lang w:eastAsia="zh-CN"/>
              </w:rPr>
              <w:t>涉及</w:t>
            </w:r>
            <w:r>
              <w:rPr>
                <w:rFonts w:hint="eastAsia" w:ascii="宋体" w:hAnsi="宋体" w:cs="宋体"/>
                <w:color w:val="auto"/>
                <w:szCs w:val="24"/>
                <w:highlight w:val="none"/>
                <w:lang w:val="en-US" w:eastAsia="zh-CN"/>
              </w:rPr>
              <w:t>综合部7.2</w:t>
            </w:r>
            <w:r>
              <w:rPr>
                <w:rFonts w:hint="eastAsia" w:ascii="宋体" w:hAnsi="宋体" w:cs="宋体"/>
                <w:color w:val="auto"/>
                <w:szCs w:val="24"/>
                <w:highlight w:val="none"/>
                <w:lang w:eastAsia="zh-CN"/>
              </w:rPr>
              <w:t>条款不符合事实描述“</w:t>
            </w:r>
            <w:r>
              <w:rPr>
                <w:rFonts w:hint="eastAsia" w:ascii="宋体" w:hAnsi="宋体" w:cs="宋体"/>
                <w:color w:val="auto"/>
                <w:szCs w:val="24"/>
                <w:highlight w:val="none"/>
              </w:rPr>
              <w:t>在现场检查</w:t>
            </w:r>
            <w:r>
              <w:rPr>
                <w:rFonts w:hint="eastAsia" w:ascii="宋体" w:hAnsi="宋体" w:cs="宋体"/>
                <w:color w:val="auto"/>
                <w:szCs w:val="24"/>
                <w:highlight w:val="none"/>
                <w:lang w:eastAsia="zh-CN"/>
              </w:rPr>
              <w:t>培训记录时发现，在培训</w:t>
            </w:r>
            <w:r>
              <w:rPr>
                <w:rFonts w:hint="eastAsia" w:ascii="宋体" w:hAnsi="宋体" w:eastAsia="宋体" w:cs="宋体"/>
                <w:color w:val="auto"/>
                <w:szCs w:val="24"/>
                <w:highlight w:val="none"/>
                <w:lang w:eastAsia="zh-CN"/>
              </w:rPr>
              <w:t>‘</w:t>
            </w:r>
            <w:r>
              <w:rPr>
                <w:rFonts w:hint="eastAsia" w:ascii="宋体" w:hAnsi="宋体" w:cs="宋体"/>
                <w:color w:val="auto"/>
                <w:szCs w:val="24"/>
                <w:highlight w:val="none"/>
                <w:lang w:eastAsia="zh-CN"/>
              </w:rPr>
              <w:t>中华人民共和国招标投标法实施条例</w:t>
            </w:r>
            <w:r>
              <w:rPr>
                <w:rFonts w:hint="eastAsia" w:ascii="宋体" w:hAnsi="宋体" w:eastAsia="宋体" w:cs="宋体"/>
                <w:color w:val="auto"/>
                <w:szCs w:val="24"/>
                <w:highlight w:val="none"/>
                <w:lang w:eastAsia="zh-CN"/>
              </w:rPr>
              <w:t>’</w:t>
            </w:r>
            <w:r>
              <w:rPr>
                <w:rFonts w:hint="eastAsia" w:ascii="宋体" w:hAnsi="宋体" w:cs="宋体"/>
                <w:color w:val="auto"/>
                <w:szCs w:val="24"/>
                <w:highlight w:val="none"/>
                <w:lang w:eastAsia="zh-CN"/>
              </w:rPr>
              <w:t>时未见相关负责人对培训效果的评价。”</w:t>
            </w:r>
            <w:r>
              <w:rPr>
                <w:rFonts w:hint="eastAsia"/>
                <w:sz w:val="21"/>
                <w:szCs w:val="21"/>
                <w:highlight w:val="none"/>
                <w:lang w:eastAsia="zh-CN"/>
              </w:rPr>
              <w:t>针对以上不符合项，已及时采取纠正措施后，经内审员验证关闭。</w:t>
            </w:r>
          </w:p>
          <w:p>
            <w:pPr>
              <w:spacing w:line="400" w:lineRule="exact"/>
              <w:rPr>
                <w:rFonts w:hint="eastAsia"/>
                <w:sz w:val="21"/>
                <w:szCs w:val="21"/>
              </w:rPr>
            </w:pPr>
            <w:r>
              <w:rPr>
                <w:rFonts w:hint="eastAsia"/>
                <w:sz w:val="21"/>
                <w:szCs w:val="21"/>
                <w:highlight w:val="none"/>
                <w:lang w:eastAsia="zh-CN"/>
              </w:rPr>
              <w:t>有《内部审核报告》，有审核结论。</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3129"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r>
              <w:rPr>
                <w:rFonts w:hint="eastAsia"/>
                <w:sz w:val="21"/>
                <w:szCs w:val="21"/>
              </w:rPr>
              <w:t>提出的改进内容</w:t>
            </w:r>
          </w:p>
        </w:tc>
        <w:tc>
          <w:tcPr>
            <w:tcW w:w="9907"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w:t>
            </w:r>
          </w:p>
          <w:p>
            <w:pPr>
              <w:adjustRightInd w:val="0"/>
              <w:spacing w:line="400" w:lineRule="exact"/>
              <w:textAlignment w:val="baseline"/>
              <w:rPr>
                <w:rFonts w:hint="eastAsia" w:ascii="宋体" w:hAnsi="宋体"/>
                <w:color w:val="auto"/>
                <w:kern w:val="0"/>
                <w:sz w:val="21"/>
                <w:szCs w:val="21"/>
                <w:highlight w:val="none"/>
              </w:rPr>
            </w:pPr>
            <w:r>
              <w:rPr>
                <w:rFonts w:hint="eastAsia" w:ascii="宋体" w:hAnsi="宋体"/>
                <w:kern w:val="0"/>
                <w:sz w:val="21"/>
                <w:szCs w:val="21"/>
              </w:rPr>
              <w:t>管理评审</w:t>
            </w:r>
            <w:r>
              <w:rPr>
                <w:rFonts w:hint="eastAsia" w:ascii="宋体" w:hAnsi="宋体"/>
                <w:kern w:val="0"/>
                <w:sz w:val="21"/>
                <w:szCs w:val="21"/>
                <w:highlight w:val="none"/>
              </w:rPr>
              <w:t>于</w:t>
            </w:r>
            <w:r>
              <w:rPr>
                <w:rFonts w:hint="eastAsia"/>
                <w:highlight w:val="none"/>
                <w:lang w:eastAsia="zh-CN"/>
              </w:rPr>
              <w:t>2021年4月20日</w:t>
            </w:r>
            <w:r>
              <w:rPr>
                <w:rFonts w:hint="eastAsia" w:ascii="宋体" w:hAnsi="宋体"/>
                <w:kern w:val="0"/>
                <w:sz w:val="21"/>
                <w:szCs w:val="21"/>
                <w:highlight w:val="none"/>
              </w:rPr>
              <w:t>由总经理主持完成。</w:t>
            </w: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highlight w:val="none"/>
              </w:rPr>
              <w:t>提供主要输入材料有：各部门总结，输入信息</w:t>
            </w:r>
            <w:r>
              <w:rPr>
                <w:rFonts w:hint="eastAsia" w:ascii="宋体" w:hAnsi="宋体"/>
                <w:color w:val="auto"/>
                <w:kern w:val="0"/>
                <w:sz w:val="21"/>
                <w:szCs w:val="21"/>
              </w:rPr>
              <w:t>基本充分和满足要求。</w:t>
            </w:r>
          </w:p>
          <w:p>
            <w:pPr>
              <w:adjustRightInd w:val="0"/>
              <w:spacing w:line="400" w:lineRule="exact"/>
              <w:textAlignment w:val="baseline"/>
              <w:rPr>
                <w:rFonts w:hint="eastAsia" w:ascii="宋体" w:hAnsi="宋体"/>
                <w:color w:val="auto"/>
                <w:kern w:val="0"/>
                <w:sz w:val="21"/>
                <w:szCs w:val="21"/>
              </w:rPr>
            </w:pPr>
            <w:r>
              <w:rPr>
                <w:rFonts w:hint="eastAsia" w:ascii="宋体" w:hAnsi="宋体"/>
                <w:color w:val="auto"/>
                <w:kern w:val="0"/>
                <w:sz w:val="21"/>
                <w:szCs w:val="21"/>
              </w:rPr>
              <w:t>输出见“管理评审报告”, 做出了管理体系基本适宜、充分和有效的评审结论。</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color w:val="auto"/>
                <w:kern w:val="0"/>
                <w:sz w:val="21"/>
                <w:szCs w:val="21"/>
              </w:rPr>
              <w:t>提出改进</w:t>
            </w:r>
            <w:r>
              <w:rPr>
                <w:rFonts w:hint="eastAsia" w:ascii="宋体" w:hAnsi="宋体"/>
                <w:color w:val="auto"/>
                <w:kern w:val="0"/>
                <w:sz w:val="21"/>
                <w:szCs w:val="21"/>
                <w:lang w:val="en-US" w:eastAsia="zh-CN"/>
              </w:rPr>
              <w:t>1</w:t>
            </w:r>
            <w:r>
              <w:rPr>
                <w:rFonts w:hint="eastAsia" w:ascii="宋体" w:hAnsi="宋体"/>
                <w:color w:val="auto"/>
                <w:kern w:val="0"/>
                <w:sz w:val="21"/>
                <w:szCs w:val="21"/>
              </w:rPr>
              <w:t>项：</w:t>
            </w:r>
            <w:r>
              <w:rPr>
                <w:rFonts w:hint="eastAsia" w:ascii="宋体" w:hAnsi="宋体" w:eastAsia="宋体" w:cs="Times New Roman"/>
                <w:color w:val="auto"/>
                <w:kern w:val="0"/>
                <w:sz w:val="21"/>
                <w:szCs w:val="21"/>
                <w:lang w:eastAsia="zh-CN"/>
              </w:rPr>
              <w:t>加深对标准的理解，体系负责人应组织内审员及各职能部门对标准结合公司的质量管理手册和相关的程序文件进行培训；由综合部</w:t>
            </w:r>
            <w:r>
              <w:rPr>
                <w:rFonts w:hint="eastAsia" w:ascii="宋体" w:hAnsi="宋体" w:eastAsia="宋体" w:cs="Times New Roman"/>
                <w:color w:val="auto"/>
                <w:kern w:val="0"/>
                <w:sz w:val="21"/>
                <w:szCs w:val="21"/>
                <w:lang w:val="en-US" w:eastAsia="zh-CN"/>
              </w:rPr>
              <w:t>组织培训</w:t>
            </w:r>
            <w:r>
              <w:rPr>
                <w:rFonts w:hint="eastAsia" w:ascii="宋体" w:hAnsi="宋体" w:eastAsia="宋体" w:cs="Times New Roman"/>
                <w:color w:val="auto"/>
                <w:kern w:val="0"/>
                <w:sz w:val="21"/>
                <w:szCs w:val="21"/>
                <w:lang w:eastAsia="zh-CN"/>
              </w:rPr>
              <w:t>，以上改进措施在20</w:t>
            </w:r>
            <w:r>
              <w:rPr>
                <w:rFonts w:hint="eastAsia" w:ascii="宋体" w:hAnsi="宋体" w:eastAsia="宋体" w:cs="Times New Roman"/>
                <w:color w:val="auto"/>
                <w:kern w:val="0"/>
                <w:sz w:val="21"/>
                <w:szCs w:val="21"/>
                <w:lang w:val="en-US" w:eastAsia="zh-CN"/>
              </w:rPr>
              <w:t>21</w:t>
            </w:r>
            <w:r>
              <w:rPr>
                <w:rFonts w:hint="eastAsia" w:ascii="宋体" w:hAnsi="宋体" w:eastAsia="宋体" w:cs="Times New Roman"/>
                <w:color w:val="auto"/>
                <w:kern w:val="0"/>
                <w:sz w:val="21"/>
                <w:szCs w:val="21"/>
                <w:lang w:eastAsia="zh-CN"/>
              </w:rPr>
              <w:t>-</w:t>
            </w:r>
            <w:r>
              <w:rPr>
                <w:rFonts w:hint="eastAsia" w:ascii="宋体" w:hAnsi="宋体" w:eastAsia="宋体" w:cs="Times New Roman"/>
                <w:color w:val="auto"/>
                <w:kern w:val="0"/>
                <w:sz w:val="21"/>
                <w:szCs w:val="21"/>
                <w:lang w:val="en-US" w:eastAsia="zh-CN"/>
              </w:rPr>
              <w:t>04-25</w:t>
            </w:r>
            <w:r>
              <w:rPr>
                <w:rFonts w:hint="eastAsia" w:ascii="宋体" w:hAnsi="宋体" w:eastAsia="宋体" w:cs="Times New Roman"/>
                <w:color w:val="auto"/>
                <w:kern w:val="0"/>
                <w:sz w:val="21"/>
                <w:szCs w:val="21"/>
                <w:lang w:eastAsia="zh-CN"/>
              </w:rPr>
              <w:t>前</w:t>
            </w:r>
            <w:r>
              <w:rPr>
                <w:rFonts w:hint="eastAsia" w:ascii="宋体" w:hAnsi="宋体" w:eastAsia="宋体" w:cs="Times New Roman"/>
                <w:color w:val="auto"/>
                <w:kern w:val="0"/>
                <w:sz w:val="21"/>
                <w:szCs w:val="21"/>
                <w:lang w:val="en-US" w:eastAsia="zh-CN"/>
              </w:rPr>
              <w:t>执行完成</w:t>
            </w:r>
            <w:r>
              <w:rPr>
                <w:rFonts w:hint="eastAsia" w:ascii="宋体" w:hAnsi="宋体" w:cs="Times New Roman"/>
                <w:color w:val="auto"/>
                <w:kern w:val="0"/>
                <w:sz w:val="21"/>
                <w:szCs w:val="21"/>
                <w:lang w:val="en-US" w:eastAsia="zh-CN"/>
              </w:rPr>
              <w:t>。</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3129"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990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通过一阶段对受审核方的管理、服务现场巡视和观察，对管理体系绩效要求有重大影响的过程、活动、场所和现场运行进行观察、巡视及总体性评价，组织具备二阶段审核条件，可进行二阶段审核。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二阶段质量管理体系宜重点关注（关键销售服务、检验、采购过程及服务提供场所）：</w:t>
            </w:r>
          </w:p>
          <w:p>
            <w:pPr>
              <w:adjustRightInd w:val="0"/>
              <w:spacing w:line="400" w:lineRule="exact"/>
              <w:textAlignment w:val="baseline"/>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 xml:space="preserve">重点审核部门： </w:t>
            </w:r>
            <w:r>
              <w:rPr>
                <w:rFonts w:hint="eastAsia" w:ascii="Times New Roman" w:hAnsi="Times New Roman" w:eastAsia="宋体" w:cs="Times New Roman"/>
                <w:szCs w:val="22"/>
                <w:lang w:eastAsia="zh-CN"/>
              </w:rPr>
              <w:t>综合部、市场部</w:t>
            </w:r>
            <w:r>
              <w:rPr>
                <w:rFonts w:hint="eastAsia" w:ascii="Times New Roman" w:hAnsi="Times New Roman" w:eastAsia="宋体" w:cs="Times New Roman"/>
                <w:szCs w:val="22"/>
              </w:rPr>
              <w:t>。</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w:t>
            </w:r>
            <w:r>
              <w:rPr>
                <w:rFonts w:hint="eastAsia" w:ascii="宋体" w:hAnsi="宋体" w:cs="Times New Roman"/>
                <w:color w:val="auto"/>
                <w:szCs w:val="21"/>
                <w:highlight w:val="none"/>
                <w:lang w:val="en-US" w:eastAsia="zh-CN"/>
              </w:rPr>
              <w:t>产品销售和服务提供控制、顾客满意；产品和服务放行、不合格产品控制</w:t>
            </w:r>
            <w:r>
              <w:rPr>
                <w:rFonts w:hint="eastAsia" w:ascii="宋体" w:hAnsi="宋体" w:cs="Times New Roman"/>
                <w:kern w:val="0"/>
                <w:sz w:val="21"/>
                <w:szCs w:val="21"/>
                <w:lang w:val="en-US" w:eastAsia="zh-CN"/>
              </w:rPr>
              <w:t>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重点审核场所：办公场所。</w:t>
            </w:r>
          </w:p>
        </w:tc>
        <w:tc>
          <w:tcPr>
            <w:tcW w:w="917"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bl>
    <w:p>
      <w:pPr>
        <w:pStyle w:val="7"/>
      </w:pPr>
      <w:r>
        <w:rPr>
          <w:rFonts w:hint="eastAsia"/>
        </w:rPr>
        <w:t>说明：不符合标注N</w:t>
      </w:r>
    </w:p>
    <w:p>
      <w:pPr>
        <w:pStyle w:val="7"/>
      </w:pPr>
    </w:p>
    <w:p>
      <w:pPr>
        <w:pStyle w:val="7"/>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09447F"/>
    <w:rsid w:val="1A026572"/>
    <w:rsid w:val="1D6F1F9F"/>
    <w:rsid w:val="1EC90056"/>
    <w:rsid w:val="29545B00"/>
    <w:rsid w:val="38C2725B"/>
    <w:rsid w:val="3A860B4E"/>
    <w:rsid w:val="3F977C3E"/>
    <w:rsid w:val="429871FD"/>
    <w:rsid w:val="504928DF"/>
    <w:rsid w:val="63C209A8"/>
    <w:rsid w:val="68672D68"/>
    <w:rsid w:val="70AC38B2"/>
    <w:rsid w:val="74000AF9"/>
    <w:rsid w:val="74B678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5">
    <w:name w:val="Plain Text"/>
    <w:basedOn w:val="1"/>
    <w:qFormat/>
    <w:uiPriority w:val="0"/>
    <w:pPr>
      <w:jc w:val="both"/>
    </w:pPr>
    <w:rPr>
      <w:rFonts w:ascii="宋体" w:hAnsi="Courier New" w:eastAsia="宋体"/>
      <w:szCs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8</TotalTime>
  <ScaleCrop>false</ScaleCrop>
  <LinksUpToDate>false</LinksUpToDate>
  <CharactersWithSpaces>100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2021-05-20T03:38:20Z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