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0377-2021-QEO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河北经技消防科技有限公司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2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Jingji Fire Technology Co., Ltd</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河北省石家庄市桥西区胜利南路416号塔坛国际商贸城2号楼905室</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napToGrid w:val="0"/>
        <w:spacing w:line="32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(英文)：Room 905, building 2, Tatan International Trade City, 416 Shengli South Road, Qiaoxi District,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河北省石家庄市桥西区胜利南路416号塔坛国际商贸城2号楼905室</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napToGrid w:val="0"/>
        <w:spacing w:line="32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(英文)：Room 905, building 2, Tatan International Trade City, 416 Shengli South Road, Qiaoxi District,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91130104MA0FPY632M</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19832613659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2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王楠</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王楠</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r>
        <w:rPr>
          <w:rFonts w:hint="eastAsia"/>
          <w:b w:val="0"/>
          <w:bCs/>
          <w:color w:val="000000" w:themeColor="text1"/>
          <w:sz w:val="22"/>
          <w:szCs w:val="22"/>
          <w:lang w:val="en-US" w:eastAsia="zh-CN"/>
        </w:rPr>
        <w:t>12</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2"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2"/>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3" w:name="审核类型"/>
      <w:r>
        <w:rPr>
          <w:rFonts w:hint="eastAsia"/>
          <w:b w:val="0"/>
          <w:bCs/>
          <w:color w:val="000000" w:themeColor="text1"/>
          <w:spacing w:val="-2"/>
          <w:sz w:val="22"/>
          <w:szCs w:val="22"/>
        </w:rPr>
        <w:t>Q:二阶段,E:二阶段,O:二阶段</w:t>
      </w:r>
      <w:bookmarkEnd w:id="13"/>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bookmarkStart w:id="14" w:name="审核范围"/>
      <w:r>
        <w:rPr>
          <w:rFonts w:hint="eastAsia"/>
          <w:b w:val="0"/>
          <w:bCs/>
          <w:color w:val="000000" w:themeColor="text1"/>
          <w:sz w:val="22"/>
          <w:szCs w:val="22"/>
        </w:rPr>
        <w:t>Q：消防设施维护保养检测、消防安全评估</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r>
        <w:rPr>
          <w:rFonts w:hint="eastAsia"/>
          <w:b w:val="0"/>
          <w:bCs/>
          <w:color w:val="000000" w:themeColor="text1"/>
          <w:sz w:val="22"/>
          <w:szCs w:val="22"/>
        </w:rPr>
        <w:t>E：消防设施维护保养检测、消防安全评估所涉及场所的相关环境管理活动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r>
        <w:rPr>
          <w:rFonts w:hint="eastAsia"/>
          <w:b w:val="0"/>
          <w:bCs/>
          <w:color w:val="000000" w:themeColor="text1"/>
          <w:sz w:val="22"/>
          <w:szCs w:val="22"/>
        </w:rPr>
        <w:t>O：消防设施维护保养检测、消防安全评估所涉及场所的相关职业健康安全管理活动</w:t>
      </w:r>
      <w:bookmarkEnd w:id="14"/>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r>
        <w:rPr>
          <w:rFonts w:hint="eastAsia"/>
          <w:b w:val="0"/>
          <w:bCs/>
          <w:color w:val="000000" w:themeColor="text1"/>
          <w:sz w:val="22"/>
          <w:szCs w:val="22"/>
          <w:lang w:eastAsia="zh-CN"/>
        </w:rPr>
        <w:t>☑</w:t>
      </w:r>
      <w:r>
        <w:rPr>
          <w:rFonts w:hint="eastAsia"/>
          <w:b w:val="0"/>
          <w:bCs/>
          <w:color w:val="000000" w:themeColor="text1"/>
          <w:sz w:val="22"/>
          <w:szCs w:val="22"/>
        </w:rPr>
        <w:t>QMS（英文）：Maintenance and inspection of fire fighting facilities and fire safety assessment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EMS（英文）：Relevant environmental management activities of places involved in fire facilities maintenance testing and fire safety assessment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OHSMS（英文）Relevant occupational health and safety management activities in the places involved in the maintenance and inspection of fire facilities and fire safety assessment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Wingdings 2" w:hAnsi="Wingdings 2"/>
          <w:b w:val="0"/>
          <w:bCs/>
          <w:color w:val="000000" w:themeColor="text1"/>
          <w:sz w:val="22"/>
          <w:szCs w:val="22"/>
        </w:rPr>
        <w:sym w:font="Wingdings 2" w:char="F0A3"/>
      </w:r>
      <w:r>
        <w:rPr>
          <w:rFonts w:ascii="Symbol" w:hAnsi="Symbol"/>
          <w:b w:val="0"/>
          <w:bCs/>
          <w:color w:val="000000" w:themeColor="text1"/>
          <w:sz w:val="22"/>
          <w:szCs w:val="22"/>
        </w:rPr>
        <w:sym w:font="Symbol" w:char="F0D6"/>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3630" cy="8841105"/>
            <wp:effectExtent l="0" t="0" r="1270" b="10795"/>
            <wp:docPr id="2" name="图片 2" descr="新文档 2021-06-03 11.41.17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6-03 11.41.17_18"/>
                    <pic:cNvPicPr>
                      <a:picLocks noChangeAspect="1"/>
                    </pic:cNvPicPr>
                  </pic:nvPicPr>
                  <pic:blipFill>
                    <a:blip r:embed="rId5"/>
                    <a:stretch>
                      <a:fillRect/>
                    </a:stretch>
                  </pic:blipFill>
                  <pic:spPr>
                    <a:xfrm>
                      <a:off x="0" y="0"/>
                      <a:ext cx="6183630" cy="8841105"/>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727FE"/>
    <w:multiLevelType w:val="singleLevel"/>
    <w:tmpl w:val="AB5727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1D2C3B"/>
    <w:rsid w:val="7F506A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2021-06-03T06:55:34Z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C38B93F9D7BD47E593A7DEACFF8884DA</vt:lpwstr>
  </property>
</Properties>
</file>