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320" w:firstLineChars="1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江苏海岸药业有限公司</w:t>
      </w:r>
      <w:bookmarkEnd w:id="1"/>
    </w:p>
    <w:p>
      <w:pPr>
        <w:spacing w:line="360" w:lineRule="auto"/>
        <w:ind w:firstLine="480" w:firstLineChars="100"/>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0028-2019-2021</w:t>
      </w:r>
      <w:bookmarkEnd w:id="2"/>
    </w:p>
    <w:p>
      <w:pPr>
        <w:spacing w:line="360" w:lineRule="auto"/>
        <w:ind w:firstLine="480" w:firstLineChars="1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0028-2019-2021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4" w:name="组织名称Add1"/>
            <w:r>
              <w:rPr>
                <w:rFonts w:cs="宋体" w:asciiTheme="minorEastAsia" w:hAnsiTheme="minorEastAsia"/>
                <w:kern w:val="0"/>
                <w:szCs w:val="21"/>
              </w:rPr>
              <w:t>江苏海岸药业有限公司</w:t>
            </w:r>
            <w:bookmarkEnd w:id="4"/>
          </w:p>
        </w:tc>
        <w:tc>
          <w:tcPr>
            <w:tcW w:w="1984"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vAlign w:val="center"/>
          </w:tcPr>
          <w:p>
            <w:pPr>
              <w:tabs>
                <w:tab w:val="left" w:pos="880"/>
              </w:tabs>
              <w:autoSpaceDE w:val="0"/>
              <w:autoSpaceDN w:val="0"/>
              <w:adjustRightInd w:val="0"/>
              <w:spacing w:before="35" w:line="360" w:lineRule="auto"/>
              <w:ind w:right="161" w:firstLine="420" w:firstLineChars="200"/>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石倩倩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bookmarkStart w:id="5" w:name="证书编号"/>
            <w:r>
              <w:rPr>
                <w:rFonts w:cs="宋体" w:asciiTheme="minorEastAsia" w:hAnsiTheme="minorEastAsia"/>
                <w:kern w:val="0"/>
                <w:szCs w:val="21"/>
              </w:rPr>
              <w:t>ISC-2019-0406</w:t>
            </w:r>
            <w:bookmarkEnd w:id="5"/>
          </w:p>
        </w:tc>
        <w:tc>
          <w:tcPr>
            <w:tcW w:w="1984" w:type="dxa"/>
            <w:vAlign w:val="center"/>
          </w:tcPr>
          <w:p>
            <w:pPr>
              <w:tabs>
                <w:tab w:val="left" w:pos="880"/>
              </w:tabs>
              <w:autoSpaceDE w:val="0"/>
              <w:autoSpaceDN w:val="0"/>
              <w:adjustRightInd w:val="0"/>
              <w:spacing w:before="35" w:line="276" w:lineRule="auto"/>
              <w:ind w:right="161"/>
              <w:jc w:val="both"/>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vAlign w:val="center"/>
          </w:tcPr>
          <w:p>
            <w:pPr>
              <w:tabs>
                <w:tab w:val="left" w:pos="880"/>
              </w:tabs>
              <w:autoSpaceDE w:val="0"/>
              <w:autoSpaceDN w:val="0"/>
              <w:adjustRightInd w:val="0"/>
              <w:spacing w:before="35" w:line="360" w:lineRule="auto"/>
              <w:ind w:right="161"/>
              <w:jc w:val="both"/>
              <w:rPr>
                <w:rFonts w:hint="eastAsia" w:cs="宋体" w:asciiTheme="minorEastAsia" w:hAnsiTheme="minorEastAsia" w:eastAsiaTheme="minorEastAsia"/>
                <w:kern w:val="0"/>
                <w:szCs w:val="21"/>
                <w:lang w:eastAsia="zh-CN"/>
              </w:rPr>
            </w:pPr>
            <w:bookmarkStart w:id="6" w:name="证书有效期"/>
            <w:r>
              <w:rPr>
                <w:rFonts w:cs="宋体" w:asciiTheme="minorEastAsia" w:hAnsiTheme="minorEastAsia"/>
                <w:kern w:val="0"/>
                <w:szCs w:val="21"/>
              </w:rPr>
              <w:t xml:space="preserve">2024-05-14 </w:t>
            </w:r>
            <w:bookmarkEnd w:id="6"/>
            <w:r>
              <w:rPr>
                <w:rFonts w:hint="eastAsia" w:cs="宋体" w:asciiTheme="minorEastAsia" w:hAnsiTheme="minorEastAsia"/>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二</w:t>
            </w:r>
            <w:r>
              <w:rPr>
                <w:rFonts w:hint="eastAsia" w:cs="宋体" w:asciiTheme="minorEastAsia" w:hAnsiTheme="minorEastAsia"/>
                <w:kern w:val="0"/>
                <w:szCs w:val="21"/>
              </w:rPr>
              <w:t>次监督审核</w:t>
            </w:r>
          </w:p>
        </w:tc>
        <w:tc>
          <w:tcPr>
            <w:tcW w:w="1984"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bookmarkStart w:id="7" w:name="审核开始日"/>
            <w:r>
              <w:rPr>
                <w:rFonts w:cs="宋体" w:asciiTheme="minorEastAsia" w:hAnsiTheme="minorEastAsia"/>
                <w:kern w:val="0"/>
                <w:szCs w:val="21"/>
              </w:rPr>
              <w:t>2021年05月18日</w:t>
            </w:r>
            <w:r>
              <w:rPr>
                <w:rFonts w:hint="eastAsia" w:cs="宋体" w:asciiTheme="minorEastAsia" w:hAnsiTheme="minorEastAsia"/>
                <w:kern w:val="0"/>
                <w:szCs w:val="21"/>
                <w:lang w:val="en-US" w:eastAsia="zh-CN"/>
              </w:rPr>
              <w:t>至2021年5月19日</w:t>
            </w:r>
            <w:r>
              <w:rPr>
                <w:rFonts w:cs="宋体" w:asciiTheme="minorEastAsia" w:hAnsiTheme="minorEastAsia"/>
                <w:kern w:val="0"/>
                <w:szCs w:val="21"/>
              </w:rPr>
              <w:t>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40" w:lineRule="auto"/>
              <w:ind w:right="161" w:firstLine="105" w:firstLineChars="50"/>
              <w:jc w:val="both"/>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jc w:val="both"/>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tabs>
                <w:tab w:val="left" w:pos="880"/>
              </w:tabs>
              <w:autoSpaceDE w:val="0"/>
              <w:autoSpaceDN w:val="0"/>
              <w:adjustRightInd w:val="0"/>
              <w:spacing w:before="35" w:line="240" w:lineRule="auto"/>
              <w:ind w:right="161"/>
              <w:jc w:val="both"/>
              <w:rPr>
                <w:rFonts w:ascii="宋体" w:hAnsi="宋体"/>
                <w:color w:val="000000"/>
                <w:szCs w:val="21"/>
                <w:shd w:val="pct10" w:color="auto" w:fill="FFFFFF"/>
              </w:rPr>
            </w:pPr>
            <w:r>
              <w:rPr>
                <w:rFonts w:ascii="宋体" w:hAnsi="宋体"/>
                <w:szCs w:val="21"/>
              </w:rPr>
              <w:t>李俐</w:t>
            </w:r>
            <w:r>
              <w:rPr>
                <w:rFonts w:hint="eastAsia" w:ascii="宋体" w:hAnsi="宋体"/>
                <w:szCs w:val="21"/>
                <w:lang w:val="en-US" w:eastAsia="zh-CN"/>
              </w:rPr>
              <w:t xml:space="preserve">   </w:t>
            </w:r>
            <w:r>
              <w:rPr>
                <w:rFonts w:hint="eastAsia" w:cs="宋体" w:asciiTheme="minorEastAsia" w:hAnsiTheme="minorEastAsia"/>
                <w:kern w:val="0"/>
                <w:szCs w:val="21"/>
              </w:rPr>
              <w:t>2021-M1MMS-2222792</w:t>
            </w:r>
          </w:p>
          <w:p>
            <w:pPr>
              <w:tabs>
                <w:tab w:val="left" w:pos="880"/>
              </w:tabs>
              <w:autoSpaceDE w:val="0"/>
              <w:autoSpaceDN w:val="0"/>
              <w:adjustRightInd w:val="0"/>
              <w:spacing w:before="35" w:line="240" w:lineRule="auto"/>
              <w:ind w:right="161"/>
              <w:jc w:val="both"/>
              <w:rPr>
                <w:rFonts w:ascii="宋体" w:hAnsi="宋体"/>
                <w:color w:val="000000"/>
                <w:szCs w:val="21"/>
                <w:shd w:val="pct10" w:color="auto" w:fill="FFFFFF"/>
              </w:rPr>
            </w:pPr>
            <w:r>
              <w:rPr>
                <w:rFonts w:ascii="宋体" w:hAnsi="宋体"/>
                <w:szCs w:val="21"/>
              </w:rPr>
              <w:t>李学弘</w:t>
            </w:r>
            <w:r>
              <w:rPr>
                <w:rFonts w:hint="eastAsia" w:ascii="宋体" w:hAnsi="宋体"/>
                <w:szCs w:val="21"/>
                <w:lang w:val="en-US" w:eastAsia="zh-CN"/>
              </w:rPr>
              <w:t xml:space="preserve"> </w:t>
            </w:r>
            <w:r>
              <w:rPr>
                <w:rFonts w:hint="eastAsia" w:cs="宋体" w:asciiTheme="minorEastAsia" w:hAnsiTheme="minorEastAsia"/>
                <w:kern w:val="0"/>
                <w:szCs w:val="21"/>
              </w:rPr>
              <w:t>2019-M1MMS-1274211</w:t>
            </w:r>
          </w:p>
        </w:tc>
        <w:tc>
          <w:tcPr>
            <w:tcW w:w="1984"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center"/>
          </w:tcPr>
          <w:p>
            <w:pPr>
              <w:tabs>
                <w:tab w:val="left" w:pos="880"/>
              </w:tabs>
              <w:autoSpaceDE w:val="0"/>
              <w:autoSpaceDN w:val="0"/>
              <w:adjustRightInd w:val="0"/>
              <w:spacing w:before="35" w:line="240" w:lineRule="auto"/>
              <w:ind w:right="161"/>
              <w:jc w:val="both"/>
              <w:rPr>
                <w:rFonts w:cs="宋体" w:asciiTheme="minorEastAsia" w:hAnsiTheme="minorEastAsia"/>
                <w:kern w:val="0"/>
                <w:szCs w:val="21"/>
              </w:rPr>
            </w:pPr>
            <w:r>
              <w:rPr>
                <w:rFonts w:hint="eastAsia" w:ascii="宋体" w:hAnsi="宋体" w:cs="宋体"/>
                <w:szCs w:val="21"/>
              </w:rPr>
              <w:t>人力资源部</w:t>
            </w:r>
            <w:r>
              <w:rPr>
                <w:rFonts w:hint="eastAsia" w:ascii="宋体" w:hAnsi="宋体" w:cs="宋体"/>
                <w:szCs w:val="21"/>
                <w:lang w:eastAsia="zh-CN"/>
              </w:rPr>
              <w:t>、</w:t>
            </w:r>
            <w:r>
              <w:rPr>
                <w:rFonts w:hint="eastAsia" w:ascii="宋体" w:hAnsi="宋体" w:cs="宋体"/>
                <w:szCs w:val="21"/>
              </w:rPr>
              <w:t>质量管理部</w:t>
            </w:r>
            <w:r>
              <w:rPr>
                <w:rFonts w:hint="eastAsia" w:ascii="宋体" w:hAnsi="宋体" w:cs="宋体"/>
                <w:szCs w:val="21"/>
                <w:lang w:eastAsia="zh-CN"/>
              </w:rPr>
              <w:t>、</w:t>
            </w:r>
            <w:r>
              <w:rPr>
                <w:rFonts w:hint="eastAsia" w:ascii="宋体" w:hAnsi="宋体" w:cs="宋体"/>
                <w:szCs w:val="21"/>
              </w:rPr>
              <w:t>工程设备部</w:t>
            </w:r>
            <w:r>
              <w:rPr>
                <w:rFonts w:hint="eastAsia" w:ascii="宋体" w:hAnsi="宋体" w:cs="宋体"/>
                <w:szCs w:val="21"/>
                <w:lang w:eastAsia="zh-CN"/>
              </w:rPr>
              <w:t>、</w:t>
            </w:r>
            <w:r>
              <w:rPr>
                <w:rFonts w:hint="eastAsia" w:ascii="宋体" w:hAnsi="宋体" w:cs="宋体"/>
                <w:szCs w:val="21"/>
              </w:rPr>
              <w:t>生产制造部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hint="default" w:cs="宋体" w:asciiTheme="minorEastAsia" w:hAnsiTheme="minorEastAsia"/>
          <w:bCs/>
          <w:kern w:val="0"/>
          <w:szCs w:val="21"/>
          <w:lang w:val="en-US" w:eastAsia="zh-CN"/>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w:t>
      </w:r>
      <w:r>
        <w:rPr>
          <w:rFonts w:hint="eastAsia" w:cs="宋体" w:asciiTheme="minorEastAsia" w:hAnsiTheme="minorEastAsia"/>
          <w:bCs/>
          <w:kern w:val="0"/>
          <w:szCs w:val="21"/>
          <w:lang w:val="en-US" w:eastAsia="zh-CN"/>
        </w:rPr>
        <w:t>对照其他子公司制定了计量提升计划。</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2.内部审核和管理评审</w:t>
      </w:r>
      <w:r>
        <w:rPr>
          <w:rFonts w:cs="宋体" w:asciiTheme="minorEastAsia" w:hAnsiTheme="minorEastAsia"/>
          <w:bCs/>
          <w:kern w:val="0"/>
          <w:szCs w:val="21"/>
        </w:rPr>
        <w:t>的情况：</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2.1内审情况：公司于202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日组织了公司</w:t>
      </w:r>
      <w:r>
        <w:rPr>
          <w:rFonts w:cs="宋体" w:asciiTheme="minorEastAsia" w:hAnsiTheme="minorEastAsia"/>
          <w:bCs/>
          <w:kern w:val="0"/>
          <w:szCs w:val="21"/>
        </w:rPr>
        <w:t>测量管理体系</w:t>
      </w:r>
      <w:r>
        <w:rPr>
          <w:rFonts w:hint="eastAsia" w:cs="宋体" w:asciiTheme="minorEastAsia" w:hAnsiTheme="minorEastAsia"/>
          <w:bCs/>
          <w:kern w:val="0"/>
          <w:szCs w:val="21"/>
          <w:lang w:val="en-US" w:eastAsia="zh-CN"/>
        </w:rPr>
        <w:t>内部审核</w:t>
      </w:r>
      <w:r>
        <w:rPr>
          <w:rFonts w:cs="宋体" w:asciiTheme="minorEastAsia" w:hAnsiTheme="minorEastAsia"/>
          <w:bCs/>
          <w:kern w:val="0"/>
          <w:szCs w:val="21"/>
        </w:rPr>
        <w:t>，</w:t>
      </w:r>
      <w:r>
        <w:rPr>
          <w:rFonts w:hint="eastAsia" w:cs="宋体" w:asciiTheme="minorEastAsia" w:hAnsiTheme="minorEastAsia"/>
          <w:bCs/>
          <w:kern w:val="0"/>
          <w:szCs w:val="21"/>
        </w:rPr>
        <w:t>内审分</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个组，对公司</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个部门进行了全要素的审核，</w:t>
      </w:r>
      <w:r>
        <w:rPr>
          <w:rFonts w:cs="宋体" w:asciiTheme="minorEastAsia" w:hAnsiTheme="minorEastAsia"/>
          <w:bCs/>
          <w:kern w:val="0"/>
          <w:szCs w:val="21"/>
        </w:rPr>
        <w:t>共开出了</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不</w:t>
      </w:r>
      <w:r>
        <w:rPr>
          <w:rFonts w:cs="宋体" w:asciiTheme="minorEastAsia" w:hAnsiTheme="minorEastAsia"/>
          <w:bCs/>
          <w:kern w:val="0"/>
          <w:szCs w:val="21"/>
        </w:rPr>
        <w:t>符合项</w:t>
      </w:r>
      <w:r>
        <w:rPr>
          <w:rFonts w:hint="eastAsia" w:cs="宋体" w:asciiTheme="minorEastAsia" w:hAnsiTheme="minorEastAsia"/>
          <w:bCs/>
          <w:kern w:val="0"/>
          <w:szCs w:val="21"/>
        </w:rPr>
        <w:t>，于</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25</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全部</w:t>
      </w:r>
      <w:r>
        <w:rPr>
          <w:rFonts w:hint="eastAsia" w:cs="宋体" w:asciiTheme="minorEastAsia" w:hAnsiTheme="minorEastAsia"/>
          <w:bCs/>
          <w:kern w:val="0"/>
          <w:szCs w:val="21"/>
        </w:rPr>
        <w:t>完成整改。</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2.2管理评审情况：企业于20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日</w:t>
      </w:r>
      <w:r>
        <w:rPr>
          <w:rFonts w:cs="宋体" w:asciiTheme="minorEastAsia" w:hAnsiTheme="minorEastAsia"/>
          <w:bCs/>
          <w:kern w:val="0"/>
          <w:szCs w:val="21"/>
        </w:rPr>
        <w:t>开展</w:t>
      </w:r>
      <w:r>
        <w:rPr>
          <w:rFonts w:hint="eastAsia" w:cs="宋体" w:asciiTheme="minorEastAsia" w:hAnsiTheme="minorEastAsia"/>
          <w:bCs/>
          <w:kern w:val="0"/>
          <w:szCs w:val="21"/>
        </w:rPr>
        <w:t>了单体系管理评审，会议</w:t>
      </w:r>
      <w:r>
        <w:rPr>
          <w:rFonts w:cs="宋体" w:asciiTheme="minorEastAsia" w:hAnsiTheme="minorEastAsia"/>
          <w:bCs/>
          <w:kern w:val="0"/>
          <w:szCs w:val="21"/>
        </w:rPr>
        <w:t>由</w:t>
      </w:r>
      <w:r>
        <w:rPr>
          <w:rFonts w:hint="eastAsia" w:cs="宋体" w:asciiTheme="minorEastAsia" w:hAnsiTheme="minorEastAsia"/>
          <w:bCs/>
          <w:kern w:val="0"/>
          <w:szCs w:val="21"/>
        </w:rPr>
        <w:t>公司</w:t>
      </w:r>
      <w:r>
        <w:rPr>
          <w:rFonts w:hint="eastAsia" w:cs="宋体" w:asciiTheme="minorEastAsia" w:hAnsiTheme="minorEastAsia"/>
          <w:bCs/>
          <w:kern w:val="0"/>
          <w:szCs w:val="21"/>
          <w:lang w:val="en-US" w:eastAsia="zh-CN"/>
        </w:rPr>
        <w:t>副</w:t>
      </w:r>
      <w:r>
        <w:rPr>
          <w:rFonts w:hint="eastAsia" w:cs="宋体" w:asciiTheme="minorEastAsia" w:hAnsiTheme="minorEastAsia"/>
          <w:bCs/>
          <w:kern w:val="0"/>
          <w:szCs w:val="21"/>
        </w:rPr>
        <w:t>总经理</w:t>
      </w:r>
      <w:r>
        <w:rPr>
          <w:rFonts w:hint="eastAsia" w:cs="宋体" w:asciiTheme="minorEastAsia" w:hAnsiTheme="minorEastAsia"/>
          <w:bCs/>
          <w:kern w:val="0"/>
          <w:szCs w:val="21"/>
          <w:lang w:val="en-US" w:eastAsia="zh-CN"/>
        </w:rPr>
        <w:t>温利民</w:t>
      </w:r>
      <w:r>
        <w:rPr>
          <w:rFonts w:hint="eastAsia" w:cs="宋体" w:asciiTheme="minorEastAsia" w:hAnsiTheme="minorEastAsia"/>
          <w:bCs/>
          <w:kern w:val="0"/>
          <w:szCs w:val="21"/>
        </w:rPr>
        <w:t>主持，由</w:t>
      </w:r>
      <w:r>
        <w:rPr>
          <w:rFonts w:hint="eastAsia" w:cs="宋体" w:asciiTheme="minorEastAsia" w:hAnsiTheme="minorEastAsia"/>
          <w:bCs/>
          <w:kern w:val="0"/>
          <w:szCs w:val="21"/>
          <w:lang w:val="en-US" w:eastAsia="zh-CN"/>
        </w:rPr>
        <w:t>QA主管牛正勇</w:t>
      </w:r>
      <w:r>
        <w:rPr>
          <w:rFonts w:cs="宋体" w:asciiTheme="minorEastAsia" w:hAnsiTheme="minorEastAsia"/>
          <w:bCs/>
          <w:kern w:val="0"/>
          <w:szCs w:val="21"/>
        </w:rPr>
        <w:t>汇报了体系运行情况。</w:t>
      </w:r>
      <w:r>
        <w:rPr>
          <w:rFonts w:hint="eastAsia" w:cs="宋体" w:asciiTheme="minorEastAsia" w:hAnsiTheme="minorEastAsia"/>
          <w:bCs/>
          <w:kern w:val="0"/>
          <w:szCs w:val="21"/>
        </w:rPr>
        <w:t>会议肯定</w:t>
      </w:r>
      <w:r>
        <w:rPr>
          <w:rFonts w:cs="宋体" w:asciiTheme="minorEastAsia" w:hAnsiTheme="minorEastAsia"/>
          <w:bCs/>
          <w:kern w:val="0"/>
          <w:szCs w:val="21"/>
        </w:rPr>
        <w:t>了公司测量管理体系的充分</w:t>
      </w:r>
      <w:r>
        <w:rPr>
          <w:rFonts w:hint="eastAsia" w:cs="宋体" w:asciiTheme="minorEastAsia" w:hAnsiTheme="minorEastAsia"/>
          <w:bCs/>
          <w:kern w:val="0"/>
          <w:szCs w:val="21"/>
        </w:rPr>
        <w:t>性</w:t>
      </w:r>
      <w:r>
        <w:rPr>
          <w:rFonts w:cs="宋体" w:asciiTheme="minorEastAsia" w:hAnsiTheme="minorEastAsia"/>
          <w:bCs/>
          <w:kern w:val="0"/>
          <w:szCs w:val="21"/>
        </w:rPr>
        <w:t>、有效性和适宜性</w:t>
      </w:r>
      <w:r>
        <w:rPr>
          <w:rFonts w:hint="eastAsia" w:cs="宋体" w:asciiTheme="minorEastAsia" w:hAnsiTheme="minorEastAsia"/>
          <w:bCs/>
          <w:kern w:val="0"/>
          <w:szCs w:val="21"/>
        </w:rPr>
        <w:t>。形成</w:t>
      </w:r>
      <w:r>
        <w:rPr>
          <w:rFonts w:cs="宋体" w:asciiTheme="minorEastAsia" w:hAnsiTheme="minorEastAsia"/>
          <w:bCs/>
          <w:kern w:val="0"/>
          <w:szCs w:val="21"/>
        </w:rPr>
        <w:t>了管理评审报告</w:t>
      </w:r>
      <w:r>
        <w:rPr>
          <w:rFonts w:hint="eastAsia" w:cs="宋体" w:asciiTheme="minorEastAsia" w:hAnsiTheme="minorEastAsia"/>
          <w:bCs/>
          <w:kern w:val="0"/>
          <w:szCs w:val="21"/>
        </w:rPr>
        <w:t>，对公司测量管理体系目前存在的</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个方面的问题落实了整改部门。</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3.为持续改进而策划的活动的进展企业对识别的关键测量过程进行了持续的控制，</w:t>
      </w:r>
      <w:r>
        <w:rPr>
          <w:rFonts w:hint="eastAsia" w:cs="宋体" w:asciiTheme="minorEastAsia" w:hAnsiTheme="minorEastAsia"/>
          <w:bCs/>
          <w:kern w:val="0"/>
          <w:szCs w:val="21"/>
          <w:lang w:val="en-US" w:eastAsia="zh-CN"/>
        </w:rPr>
        <w:t>没有</w:t>
      </w:r>
      <w:r>
        <w:rPr>
          <w:rFonts w:hint="eastAsia" w:cs="宋体" w:asciiTheme="minorEastAsia" w:hAnsiTheme="minorEastAsia"/>
          <w:bCs/>
          <w:kern w:val="0"/>
          <w:szCs w:val="21"/>
        </w:rPr>
        <w:t>新增关键测量过程：</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a)计量要求的导出和验证：查注射用水pH值测定测量过程，计量要求导出方法正确，验证满足测量过程要求。祥见附件《计量要求导出及验证记录表》</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b)</w:t>
      </w:r>
      <w:r>
        <w:rPr>
          <w:rFonts w:cs="宋体" w:asciiTheme="minorEastAsia" w:hAnsiTheme="minorEastAsia"/>
          <w:bCs/>
          <w:kern w:val="0"/>
          <w:szCs w:val="21"/>
        </w:rPr>
        <w:t>测量不确定评定</w:t>
      </w:r>
      <w:r>
        <w:rPr>
          <w:rFonts w:hint="eastAsia" w:cs="宋体" w:asciiTheme="minorEastAsia" w:hAnsiTheme="minorEastAsia"/>
          <w:bCs/>
          <w:kern w:val="0"/>
          <w:szCs w:val="21"/>
        </w:rPr>
        <w:t>：查注射用水pH值测定测量过程，测量不确定度评定正确。祥见附件《测量不确定度评定》</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c)有效性确认：查注射用水pH值测定测量过程，采用</w:t>
      </w:r>
      <w:r>
        <w:rPr>
          <w:rFonts w:hint="eastAsia" w:cs="宋体" w:asciiTheme="minorEastAsia" w:hAnsiTheme="minorEastAsia"/>
          <w:bCs/>
          <w:kern w:val="0"/>
          <w:szCs w:val="21"/>
          <w:lang w:val="en-US" w:eastAsia="zh-CN"/>
        </w:rPr>
        <w:t>标准溶液法</w:t>
      </w:r>
      <w:r>
        <w:rPr>
          <w:rFonts w:hint="eastAsia" w:cs="宋体" w:asciiTheme="minorEastAsia" w:hAnsiTheme="minorEastAsia"/>
          <w:bCs/>
          <w:kern w:val="0"/>
          <w:szCs w:val="21"/>
        </w:rPr>
        <w:t>进行比对</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进行有效性确认，满足要求。祥见附件《测量过程有效性确认》</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d)</w:t>
      </w:r>
      <w:r>
        <w:rPr>
          <w:rFonts w:cs="宋体" w:asciiTheme="minorEastAsia" w:hAnsiTheme="minorEastAsia"/>
          <w:bCs/>
          <w:kern w:val="0"/>
          <w:szCs w:val="21"/>
        </w:rPr>
        <w:t>测量过程的控制</w:t>
      </w:r>
      <w:r>
        <w:rPr>
          <w:rFonts w:hint="eastAsia" w:cs="宋体" w:asciiTheme="minorEastAsia" w:hAnsiTheme="minorEastAsia"/>
          <w:bCs/>
          <w:kern w:val="0"/>
          <w:szCs w:val="21"/>
        </w:rPr>
        <w:t>：查注射用水pH值测定测量过程，编制了控制规范，对测量人员、测量设备、测量环境进行控制，满足要求。</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e)</w:t>
      </w:r>
      <w:r>
        <w:rPr>
          <w:rFonts w:cs="宋体" w:asciiTheme="minorEastAsia" w:hAnsiTheme="minorEastAsia"/>
          <w:bCs/>
          <w:kern w:val="0"/>
          <w:szCs w:val="21"/>
        </w:rPr>
        <w:t>测量过程的监视</w:t>
      </w:r>
      <w:r>
        <w:rPr>
          <w:rFonts w:hint="eastAsia" w:cs="宋体" w:asciiTheme="minorEastAsia" w:hAnsiTheme="minorEastAsia"/>
          <w:bCs/>
          <w:kern w:val="0"/>
          <w:szCs w:val="21"/>
        </w:rPr>
        <w:t>：查注射用水pH值测定测量过程，采用统计技术进行控制和监视测量过程。祥见《测量过程监视记录》</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f)测量设备的溯源：公司</w:t>
      </w:r>
      <w:r>
        <w:rPr>
          <w:rFonts w:hint="eastAsia" w:cs="宋体" w:asciiTheme="minorEastAsia" w:hAnsiTheme="minorEastAsia"/>
          <w:bCs/>
          <w:kern w:val="0"/>
          <w:szCs w:val="21"/>
          <w:lang w:val="en-US" w:eastAsia="zh-CN"/>
        </w:rPr>
        <w:t>未建立</w:t>
      </w:r>
      <w:r>
        <w:rPr>
          <w:rFonts w:hint="eastAsia" w:cs="宋体" w:asciiTheme="minorEastAsia" w:hAnsiTheme="minorEastAsia"/>
          <w:bCs/>
          <w:kern w:val="0"/>
          <w:szCs w:val="21"/>
        </w:rPr>
        <w:t>最高标准，送</w:t>
      </w:r>
      <w:r>
        <w:rPr>
          <w:rFonts w:hint="eastAsia" w:cs="宋体" w:asciiTheme="minorEastAsia" w:hAnsiTheme="minorEastAsia"/>
          <w:bCs/>
          <w:kern w:val="0"/>
          <w:szCs w:val="21"/>
          <w:lang w:val="en-US" w:eastAsia="zh-CN"/>
        </w:rPr>
        <w:t>苏州计量测试所等三个计量技术机构</w:t>
      </w:r>
      <w:r>
        <w:rPr>
          <w:rFonts w:hint="eastAsia" w:cs="宋体" w:asciiTheme="minorEastAsia" w:hAnsiTheme="minorEastAsia"/>
          <w:bCs/>
          <w:kern w:val="0"/>
          <w:szCs w:val="21"/>
        </w:rPr>
        <w:t>检定/校准。抽查</w:t>
      </w: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台测量设备检定/校准证书，溯源满足要求。祥见《测量设备溯源检查表》</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4.能源管理情况：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年耗能</w:t>
      </w:r>
      <w:r>
        <w:rPr>
          <w:rFonts w:hint="eastAsia" w:cs="宋体" w:asciiTheme="minorEastAsia" w:hAnsiTheme="minorEastAsia"/>
          <w:bCs/>
          <w:kern w:val="0"/>
          <w:szCs w:val="21"/>
          <w:lang w:val="en-US" w:eastAsia="zh-CN"/>
        </w:rPr>
        <w:t>3958</w:t>
      </w:r>
      <w:r>
        <w:rPr>
          <w:rFonts w:hint="eastAsia" w:cs="宋体" w:asciiTheme="minorEastAsia" w:hAnsiTheme="minorEastAsia"/>
          <w:bCs/>
          <w:kern w:val="0"/>
          <w:szCs w:val="21"/>
        </w:rPr>
        <w:t>吨标准煤。</w:t>
      </w:r>
      <w:r>
        <w:rPr>
          <w:rFonts w:hint="eastAsia" w:cs="宋体" w:asciiTheme="minorEastAsia" w:hAnsiTheme="minorEastAsia"/>
          <w:bCs/>
          <w:kern w:val="0"/>
          <w:szCs w:val="21"/>
          <w:lang w:val="en-US" w:eastAsia="zh-CN"/>
        </w:rPr>
        <w:t>不属于</w:t>
      </w:r>
      <w:r>
        <w:rPr>
          <w:rFonts w:hint="eastAsia" w:cs="宋体" w:asciiTheme="minorEastAsia" w:hAnsiTheme="minorEastAsia"/>
          <w:bCs/>
          <w:kern w:val="0"/>
          <w:szCs w:val="21"/>
        </w:rPr>
        <w:t>重点耗能单位，企业建立了能源测量设备</w:t>
      </w:r>
      <w:r>
        <w:rPr>
          <w:rFonts w:hint="eastAsia" w:cs="宋体" w:asciiTheme="minorEastAsia" w:hAnsiTheme="minorEastAsia"/>
          <w:bCs/>
          <w:kern w:val="0"/>
          <w:szCs w:val="21"/>
          <w:lang w:val="en-US" w:eastAsia="zh-CN"/>
        </w:rPr>
        <w:t>台账</w:t>
      </w:r>
      <w:r>
        <w:rPr>
          <w:rFonts w:hint="eastAsia" w:cs="宋体" w:asciiTheme="minorEastAsia" w:hAnsiTheme="minorEastAsia"/>
          <w:bCs/>
          <w:kern w:val="0"/>
          <w:szCs w:val="21"/>
        </w:rPr>
        <w:t>，能源测量设备配备率满足要求。进出用能</w:t>
      </w:r>
      <w:r>
        <w:rPr>
          <w:rFonts w:hint="eastAsia" w:cs="宋体" w:asciiTheme="minorEastAsia" w:hAnsiTheme="minorEastAsia"/>
          <w:bCs/>
          <w:kern w:val="0"/>
          <w:szCs w:val="21"/>
          <w:lang w:val="en-US" w:eastAsia="zh-CN"/>
        </w:rPr>
        <w:t>由供能部门管理；</w:t>
      </w:r>
      <w:r>
        <w:rPr>
          <w:rFonts w:hint="eastAsia" w:cs="宋体" w:asciiTheme="minorEastAsia" w:hAnsiTheme="minorEastAsia"/>
          <w:bCs/>
          <w:kern w:val="0"/>
          <w:szCs w:val="21"/>
        </w:rPr>
        <w:t>主要次级用能单位，</w:t>
      </w:r>
      <w:r>
        <w:rPr>
          <w:rFonts w:hint="eastAsia" w:cs="宋体" w:asciiTheme="minorEastAsia" w:hAnsiTheme="minorEastAsia"/>
          <w:bCs/>
          <w:kern w:val="0"/>
          <w:szCs w:val="21"/>
          <w:lang w:val="en-US" w:eastAsia="zh-CN"/>
        </w:rPr>
        <w:t>配备电能表0.5级109</w:t>
      </w:r>
      <w:r>
        <w:rPr>
          <w:rFonts w:hint="eastAsia" w:cs="宋体" w:asciiTheme="minorEastAsia" w:hAnsiTheme="minorEastAsia"/>
          <w:bCs/>
          <w:kern w:val="0"/>
          <w:szCs w:val="21"/>
        </w:rPr>
        <w:t>台（件），</w:t>
      </w:r>
      <w:r>
        <w:rPr>
          <w:rFonts w:hint="eastAsia" w:cs="宋体" w:asciiTheme="minorEastAsia" w:hAnsiTheme="minorEastAsia"/>
          <w:bCs/>
          <w:kern w:val="0"/>
          <w:szCs w:val="21"/>
          <w:lang w:val="en-US" w:eastAsia="zh-CN"/>
        </w:rPr>
        <w:t>A级蒸汽流量计6</w:t>
      </w:r>
      <w:r>
        <w:rPr>
          <w:rFonts w:hint="eastAsia" w:cs="宋体" w:asciiTheme="minorEastAsia" w:hAnsiTheme="minorEastAsia"/>
          <w:bCs/>
          <w:kern w:val="0"/>
          <w:szCs w:val="21"/>
        </w:rPr>
        <w:t>台（件）；</w:t>
      </w:r>
      <w:r>
        <w:rPr>
          <w:rFonts w:hint="eastAsia" w:cs="宋体" w:asciiTheme="minorEastAsia" w:hAnsiTheme="minorEastAsia"/>
          <w:bCs/>
          <w:kern w:val="0"/>
          <w:szCs w:val="21"/>
          <w:lang w:val="en-US" w:eastAsia="zh-CN"/>
        </w:rPr>
        <w:t>2.0级水表16台（件）</w:t>
      </w:r>
      <w:r>
        <w:rPr>
          <w:rFonts w:hint="eastAsia" w:cs="宋体" w:asciiTheme="minorEastAsia" w:hAnsiTheme="minorEastAsia"/>
          <w:bCs/>
          <w:kern w:val="0"/>
          <w:szCs w:val="21"/>
        </w:rPr>
        <w:t>现场抽查测量设备配备率满足要求，查测量设备检定/校准</w:t>
      </w:r>
      <w:r>
        <w:rPr>
          <w:rFonts w:hint="eastAsia" w:cs="宋体" w:asciiTheme="minorEastAsia" w:hAnsiTheme="minorEastAsia"/>
          <w:bCs/>
          <w:kern w:val="0"/>
          <w:szCs w:val="21"/>
          <w:lang w:val="en-US" w:eastAsia="zh-CN"/>
        </w:rPr>
        <w:t>结果</w:t>
      </w:r>
      <w:r>
        <w:rPr>
          <w:rFonts w:hint="eastAsia" w:cs="宋体" w:asciiTheme="minorEastAsia" w:hAnsiTheme="minorEastAsia"/>
          <w:bCs/>
          <w:kern w:val="0"/>
          <w:szCs w:val="21"/>
        </w:rPr>
        <w:t>，测量设备</w:t>
      </w:r>
      <w:r>
        <w:rPr>
          <w:rFonts w:hint="eastAsia" w:cs="宋体" w:asciiTheme="minorEastAsia" w:hAnsiTheme="minorEastAsia"/>
          <w:bCs/>
          <w:kern w:val="0"/>
          <w:szCs w:val="21"/>
          <w:lang w:val="en-US" w:eastAsia="zh-CN"/>
        </w:rPr>
        <w:t>准确度</w:t>
      </w:r>
      <w:r>
        <w:rPr>
          <w:rFonts w:hint="eastAsia" w:cs="宋体" w:asciiTheme="minorEastAsia" w:hAnsiTheme="minorEastAsia"/>
          <w:bCs/>
          <w:kern w:val="0"/>
          <w:szCs w:val="21"/>
        </w:rPr>
        <w:t>等级满足要求。能源计量管理满足GB17167要求。</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5.对认证审核时提出的的不符合项的纠正措施情况有表述</w:t>
      </w:r>
      <w:r>
        <w:rPr>
          <w:rFonts w:cs="宋体" w:asciiTheme="minorEastAsia" w:hAnsiTheme="minorEastAsia"/>
          <w:bCs/>
          <w:kern w:val="0"/>
          <w:szCs w:val="21"/>
        </w:rPr>
        <w:t>： </w:t>
      </w:r>
    </w:p>
    <w:p>
      <w:pPr>
        <w:widowControl/>
        <w:spacing w:line="360" w:lineRule="auto"/>
        <w:ind w:firstLine="420" w:firstLineChars="200"/>
        <w:rPr>
          <w:rFonts w:hint="eastAsia" w:cs="宋体" w:asciiTheme="minorEastAsia" w:hAnsiTheme="minorEastAsia"/>
          <w:bCs/>
          <w:kern w:val="0"/>
          <w:szCs w:val="21"/>
          <w:lang w:eastAsia="zh-CN"/>
        </w:rPr>
      </w:pPr>
      <w:r>
        <w:rPr>
          <w:rFonts w:hint="eastAsia" w:cs="宋体" w:asciiTheme="minorEastAsia" w:hAnsiTheme="minorEastAsia"/>
          <w:bCs/>
          <w:kern w:val="0"/>
          <w:szCs w:val="21"/>
        </w:rPr>
        <w:t>查20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年外审</w:t>
      </w:r>
      <w:r>
        <w:rPr>
          <w:rFonts w:hint="eastAsia" w:cs="宋体" w:asciiTheme="minorEastAsia" w:hAnsiTheme="minorEastAsia"/>
          <w:bCs/>
          <w:kern w:val="0"/>
          <w:szCs w:val="21"/>
          <w:lang w:val="en-US" w:eastAsia="zh-CN"/>
        </w:rPr>
        <w:t>没有开出</w:t>
      </w:r>
      <w:r>
        <w:rPr>
          <w:rFonts w:hint="eastAsia" w:cs="宋体" w:asciiTheme="minorEastAsia" w:hAnsiTheme="minorEastAsia"/>
          <w:bCs/>
          <w:kern w:val="0"/>
          <w:szCs w:val="21"/>
        </w:rPr>
        <w:t>不符合项</w:t>
      </w:r>
      <w:r>
        <w:rPr>
          <w:rFonts w:hint="eastAsia" w:cs="宋体" w:asciiTheme="minorEastAsia" w:hAnsiTheme="minorEastAsia"/>
          <w:bCs/>
          <w:kern w:val="0"/>
          <w:szCs w:val="21"/>
          <w:lang w:eastAsia="zh-CN"/>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企业2020年有未有顾客的投诉。企业未有</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问题和产品质量问题的投诉或</w:t>
      </w:r>
      <w:r>
        <w:rPr>
          <w:rFonts w:cs="宋体" w:asciiTheme="minorEastAsia" w:hAnsiTheme="minorEastAsia"/>
          <w:bCs/>
          <w:kern w:val="0"/>
          <w:szCs w:val="21"/>
        </w:rPr>
        <w:t>重大</w:t>
      </w:r>
      <w:r>
        <w:rPr>
          <w:rFonts w:hint="eastAsia" w:cs="宋体" w:asciiTheme="minorEastAsia" w:hAnsiTheme="minorEastAsia"/>
          <w:bCs/>
          <w:kern w:val="0"/>
          <w:szCs w:val="21"/>
        </w:rPr>
        <w:t>质量</w:t>
      </w:r>
      <w:r>
        <w:rPr>
          <w:rFonts w:cs="宋体" w:asciiTheme="minorEastAsia" w:hAnsiTheme="minorEastAsia"/>
          <w:bCs/>
          <w:kern w:val="0"/>
          <w:szCs w:val="21"/>
        </w:rPr>
        <w:t>事故</w:t>
      </w:r>
      <w:r>
        <w:rPr>
          <w:rFonts w:hint="eastAsia" w:cs="宋体" w:asciiTheme="minorEastAsia" w:hAnsiTheme="minorEastAsia"/>
          <w:bCs/>
          <w:kern w:val="0"/>
          <w:szCs w:val="21"/>
        </w:rPr>
        <w:t>发生。</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公司制定了</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项质量目标，对目标进行了分解，查20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年1月到1</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月质量目标完成情况检查表，按目标、措施、完成情况、未完成情况进行统计，记录内容全，每月统计，质量目标管理满足要求。</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8.</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cs="宋体" w:asciiTheme="minorEastAsia" w:hAnsiTheme="minorEastAsia"/>
          <w:bCs/>
          <w:kern w:val="0"/>
          <w:szCs w:val="21"/>
        </w:rPr>
      </w:pPr>
      <w:r>
        <w:rPr>
          <w:rFonts w:hint="eastAsia" w:cs="宋体" w:asciiTheme="minorEastAsia" w:hAnsiTheme="minorEastAsia"/>
          <w:bCs/>
          <w:kern w:val="0"/>
          <w:szCs w:val="21"/>
        </w:rPr>
        <w:t>企业营业执照和组织机构未发生变化。</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 xml:space="preserve"> 用于企业的形象宣传。</w:t>
      </w:r>
    </w:p>
    <w:p>
      <w:pPr>
        <w:widowControl/>
        <w:spacing w:line="360" w:lineRule="auto"/>
        <w:rPr>
          <w:rFonts w:hint="eastAsia" w:cs="宋体" w:asciiTheme="minorEastAsia" w:hAnsiTheme="minorEastAsia" w:eastAsiaTheme="minorEastAsia"/>
          <w:bCs/>
          <w:color w:val="000000" w:themeColor="text1"/>
          <w:kern w:val="0"/>
          <w:szCs w:val="21"/>
          <w:lang w:eastAsia="zh-CN"/>
        </w:rPr>
      </w:pPr>
      <w:r>
        <w:rPr>
          <w:rFonts w:hint="eastAsia" w:cs="宋体" w:asciiTheme="minorEastAsia" w:hAnsiTheme="minorEastAsia"/>
          <w:bCs/>
          <w:color w:val="000000" w:themeColor="text1"/>
          <w:kern w:val="0"/>
          <w:szCs w:val="21"/>
          <w:lang w:val="en-US" w:eastAsia="zh-CN"/>
        </w:rPr>
        <w:t>10.</w:t>
      </w:r>
      <w:r>
        <w:rPr>
          <w:rFonts w:hint="eastAsia" w:cs="宋体" w:asciiTheme="minorEastAsia" w:hAnsiTheme="minorEastAsia"/>
          <w:bCs/>
          <w:color w:val="000000" w:themeColor="text1"/>
          <w:kern w:val="0"/>
          <w:szCs w:val="21"/>
        </w:rPr>
        <w:t xml:space="preserve"> 本次监督审核</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出具一般不符合</w:t>
      </w:r>
      <w:r>
        <w:rPr>
          <w:rFonts w:hint="eastAsia" w:cs="宋体" w:asciiTheme="minorEastAsia" w:hAnsiTheme="minorEastAsia"/>
          <w:bCs/>
          <w:color w:val="000000" w:themeColor="text1"/>
          <w:kern w:val="0"/>
          <w:szCs w:val="21"/>
          <w:lang w:val="en-US" w:eastAsia="zh-CN"/>
        </w:rPr>
        <w:t>项</w:t>
      </w:r>
      <w:bookmarkStart w:id="9" w:name="_GoBack"/>
      <w:bookmarkEnd w:id="9"/>
      <w:r>
        <w:rPr>
          <w:rFonts w:hint="eastAsia" w:cs="宋体" w:asciiTheme="minorEastAsia" w:hAnsiTheme="minorEastAsia"/>
          <w:bCs/>
          <w:color w:val="000000" w:themeColor="text1"/>
          <w:kern w:val="0"/>
          <w:szCs w:val="21"/>
        </w:rPr>
        <w:t>，未发现严重的或系统性的不符合情况</w:t>
      </w:r>
      <w:r>
        <w:rPr>
          <w:rFonts w:hint="eastAsia" w:cs="宋体" w:asciiTheme="minorEastAsia" w:hAnsiTheme="minorEastAsia"/>
          <w:bCs/>
          <w:color w:val="000000" w:themeColor="text1"/>
          <w:kern w:val="0"/>
          <w:szCs w:val="21"/>
          <w:lang w:eastAsia="zh-CN"/>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三、</w:t>
      </w:r>
      <w:r>
        <w:rPr>
          <w:rFonts w:cs="宋体" w:asciiTheme="minorEastAsia" w:hAnsiTheme="minorEastAsia"/>
          <w:bCs/>
          <w:kern w:val="0"/>
          <w:szCs w:val="21"/>
        </w:rPr>
        <w:t>监督审核结论意见(含需要说明的事项):</w:t>
      </w:r>
    </w:p>
    <w:p>
      <w:pPr>
        <w:widowControl/>
        <w:spacing w:line="360" w:lineRule="auto"/>
        <w:ind w:firstLine="630" w:firstLineChars="300"/>
        <w:rPr>
          <w:rFonts w:cs="宋体" w:asciiTheme="minorEastAsia" w:hAnsiTheme="minorEastAsia"/>
          <w:bCs/>
          <w:kern w:val="0"/>
          <w:szCs w:val="21"/>
        </w:rPr>
      </w:pPr>
      <w:r>
        <w:rPr>
          <w:rFonts w:hint="eastAsia" w:cs="宋体" w:asciiTheme="minorEastAsia" w:hAnsiTheme="minorEastAsia"/>
          <w:bCs/>
          <w:kern w:val="0"/>
          <w:szCs w:val="21"/>
        </w:rPr>
        <w:t>通过20</w:t>
      </w:r>
      <w:r>
        <w:rPr>
          <w:rFonts w:hint="eastAsia" w:cs="宋体" w:asciiTheme="minorEastAsia" w:hAnsiTheme="minorEastAsia"/>
          <w:bCs/>
          <w:kern w:val="0"/>
          <w:szCs w:val="21"/>
          <w:lang w:val="en-US" w:eastAsia="zh-CN"/>
        </w:rPr>
        <w:t>21</w:t>
      </w:r>
      <w:r>
        <w:rPr>
          <w:rFonts w:cs="宋体" w:asciiTheme="minorEastAsia" w:hAnsiTheme="minorEastAsia"/>
          <w:bCs/>
          <w:kern w:val="0"/>
          <w:szCs w:val="21"/>
        </w:rPr>
        <w:t>年</w:t>
      </w:r>
      <w:r>
        <w:rPr>
          <w:rFonts w:hint="eastAsia" w:cs="宋体" w:asciiTheme="minorEastAsia" w:hAnsiTheme="minorEastAsia"/>
          <w:bCs/>
          <w:kern w:val="0"/>
          <w:szCs w:val="21"/>
          <w:lang w:val="en-US" w:eastAsia="zh-CN"/>
        </w:rPr>
        <w:t>5</w:t>
      </w:r>
      <w:r>
        <w:rPr>
          <w:rFonts w:cs="宋体" w:asciiTheme="minorEastAsia" w:hAnsiTheme="minorEastAsia"/>
          <w:bCs/>
          <w:kern w:val="0"/>
          <w:szCs w:val="21"/>
        </w:rPr>
        <w:t>月</w:t>
      </w:r>
      <w:r>
        <w:rPr>
          <w:rFonts w:hint="eastAsia" w:cs="宋体" w:asciiTheme="minorEastAsia" w:hAnsiTheme="minorEastAsia"/>
          <w:bCs/>
          <w:kern w:val="0"/>
          <w:szCs w:val="21"/>
          <w:lang w:val="en-US" w:eastAsia="zh-CN"/>
        </w:rPr>
        <w:t>18</w:t>
      </w:r>
      <w:r>
        <w:rPr>
          <w:rFonts w:cs="宋体" w:asciiTheme="minorEastAsia" w:hAnsiTheme="minorEastAsia"/>
          <w:bCs/>
          <w:kern w:val="0"/>
          <w:szCs w:val="21"/>
        </w:rPr>
        <w:t>日</w:t>
      </w:r>
      <w:r>
        <w:rPr>
          <w:rFonts w:hint="eastAsia" w:cs="宋体" w:asciiTheme="minorEastAsia" w:hAnsiTheme="minorEastAsia"/>
          <w:bCs/>
          <w:kern w:val="0"/>
          <w:szCs w:val="21"/>
        </w:rPr>
        <w:t>-</w:t>
      </w:r>
      <w:r>
        <w:rPr>
          <w:rFonts w:hint="eastAsia" w:cs="宋体" w:asciiTheme="minorEastAsia" w:hAnsiTheme="minorEastAsia"/>
          <w:bCs/>
          <w:kern w:val="0"/>
          <w:szCs w:val="21"/>
          <w:lang w:val="en-US" w:eastAsia="zh-CN"/>
        </w:rPr>
        <w:t>19</w:t>
      </w:r>
      <w:r>
        <w:rPr>
          <w:rFonts w:hint="eastAsia" w:cs="宋体" w:asciiTheme="minorEastAsia" w:hAnsiTheme="minorEastAsia"/>
          <w:bCs/>
          <w:kern w:val="0"/>
          <w:szCs w:val="21"/>
        </w:rPr>
        <w:t>日</w:t>
      </w:r>
      <w:r>
        <w:rPr>
          <w:rFonts w:hint="eastAsia" w:cs="宋体" w:asciiTheme="minorEastAsia" w:hAnsiTheme="minorEastAsia"/>
          <w:bCs/>
          <w:kern w:val="0"/>
          <w:szCs w:val="21"/>
          <w:lang w:val="en-US" w:eastAsia="zh-CN"/>
        </w:rPr>
        <w:t>上午</w:t>
      </w:r>
      <w:r>
        <w:rPr>
          <w:rFonts w:hint="eastAsia" w:cs="宋体" w:asciiTheme="minorEastAsia" w:hAnsiTheme="minorEastAsia"/>
          <w:bCs/>
          <w:kern w:val="0"/>
          <w:szCs w:val="21"/>
        </w:rPr>
        <w:t>，</w:t>
      </w:r>
      <w:r>
        <w:rPr>
          <w:rFonts w:cs="宋体" w:asciiTheme="minorEastAsia" w:hAnsiTheme="minorEastAsia"/>
          <w:bCs/>
          <w:kern w:val="0"/>
          <w:szCs w:val="21"/>
        </w:rPr>
        <w:t>对江苏海岸药业有限公司</w:t>
      </w:r>
      <w:r>
        <w:rPr>
          <w:rFonts w:hint="eastAsia" w:cs="宋体" w:asciiTheme="minorEastAsia" w:hAnsiTheme="minorEastAsia"/>
          <w:bCs/>
          <w:kern w:val="0"/>
          <w:szCs w:val="21"/>
          <w:lang w:val="en-US" w:eastAsia="zh-CN"/>
        </w:rPr>
        <w:t>第二次</w:t>
      </w:r>
      <w:r>
        <w:rPr>
          <w:rFonts w:hint="eastAsia" w:cs="宋体" w:asciiTheme="minorEastAsia" w:hAnsiTheme="minorEastAsia"/>
          <w:bCs/>
          <w:kern w:val="0"/>
          <w:szCs w:val="21"/>
        </w:rPr>
        <w:t>监督</w:t>
      </w:r>
      <w:r>
        <w:rPr>
          <w:rFonts w:cs="宋体" w:asciiTheme="minorEastAsia" w:hAnsiTheme="minorEastAsia"/>
          <w:bCs/>
          <w:kern w:val="0"/>
          <w:szCs w:val="21"/>
        </w:rPr>
        <w:t>审核</w:t>
      </w:r>
      <w:r>
        <w:rPr>
          <w:rFonts w:hint="eastAsia" w:cs="宋体" w:asciiTheme="minorEastAsia" w:hAnsiTheme="minorEastAsia"/>
          <w:bCs/>
          <w:kern w:val="0"/>
          <w:szCs w:val="21"/>
        </w:rPr>
        <w:t>.验证了公司在去年一年内，测量管理体系运作情况，公司领导重视体系运行和管理，体系文件得到有效实施，企业管理规范，</w:t>
      </w:r>
      <w:r>
        <w:rPr>
          <w:rFonts w:hint="eastAsia" w:cs="宋体" w:asciiTheme="minorEastAsia" w:hAnsiTheme="minorEastAsia"/>
          <w:bCs/>
          <w:kern w:val="0"/>
          <w:szCs w:val="21"/>
          <w:lang w:val="en-US" w:eastAsia="zh-CN"/>
        </w:rPr>
        <w:t>未</w:t>
      </w:r>
      <w:r>
        <w:rPr>
          <w:rFonts w:hint="eastAsia" w:cs="宋体" w:asciiTheme="minorEastAsia" w:hAnsiTheme="minorEastAsia"/>
          <w:bCs/>
          <w:kern w:val="0"/>
          <w:szCs w:val="21"/>
        </w:rPr>
        <w:t>增关键测量过程，过程受控、监视方法正确有效，重要测量人员能力受控，测量设备、测量环境、测量软件、测量记录及外部供方管理等各项工作。综上所述，审核组认为</w:t>
      </w:r>
      <w:r>
        <w:rPr>
          <w:rFonts w:cs="宋体" w:asciiTheme="minorEastAsia" w:hAnsiTheme="minorEastAsia"/>
          <w:bCs/>
          <w:kern w:val="0"/>
          <w:szCs w:val="21"/>
        </w:rPr>
        <w:t>江苏海岸药业有限公司</w:t>
      </w:r>
      <w:r>
        <w:rPr>
          <w:rFonts w:hint="eastAsia" w:cs="宋体" w:asciiTheme="minorEastAsia" w:hAnsiTheme="minorEastAsia"/>
          <w:bCs/>
          <w:kern w:val="0"/>
          <w:szCs w:val="21"/>
        </w:rPr>
        <w:t>测量管理体系，符合GB/T 19022-2003标准要求，对体系运行具有持续的有效性、符合性予以肯定。建议报请北京国标联合认证有限公司批准通过监督审核。</w:t>
      </w:r>
    </w:p>
    <w:p>
      <w:pPr>
        <w:widowControl/>
        <w:spacing w:line="276" w:lineRule="auto"/>
        <w:rPr>
          <w:rFonts w:cs="宋体" w:asciiTheme="minorEastAsia" w:hAnsiTheme="minorEastAsia"/>
          <w:bCs/>
          <w:kern w:val="0"/>
          <w:szCs w:val="21"/>
        </w:rPr>
      </w:pPr>
    </w:p>
    <w:p>
      <w:pPr>
        <w:widowControl/>
        <w:spacing w:line="276" w:lineRule="auto"/>
        <w:rPr>
          <w:rFonts w:cs="宋体" w:asciiTheme="minorEastAsia" w:hAnsiTheme="minorEastAsia"/>
          <w:bCs/>
          <w:kern w:val="0"/>
          <w:szCs w:val="21"/>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1505585</wp:posOffset>
            </wp:positionH>
            <wp:positionV relativeFrom="paragraph">
              <wp:posOffset>107950</wp:posOffset>
            </wp:positionV>
            <wp:extent cx="433070" cy="333375"/>
            <wp:effectExtent l="0" t="0" r="11430"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33070" cy="333375"/>
                    </a:xfrm>
                    <a:prstGeom prst="rect">
                      <a:avLst/>
                    </a:prstGeom>
                  </pic:spPr>
                </pic:pic>
              </a:graphicData>
            </a:graphic>
          </wp:anchor>
        </w:drawing>
      </w:r>
    </w:p>
    <w:p>
      <w:pPr>
        <w:widowControl/>
        <w:spacing w:line="276" w:lineRule="auto"/>
        <w:rPr>
          <w:rFonts w:hint="default" w:cs="宋体" w:asciiTheme="minorEastAsia" w:hAnsiTheme="minorEastAsia" w:eastAsiaTheme="minorEastAsia"/>
          <w:bCs/>
          <w:kern w:val="0"/>
          <w:szCs w:val="21"/>
          <w:lang w:val="en-US" w:eastAsia="zh-CN"/>
        </w:rPr>
      </w:pPr>
      <w:r>
        <w:rPr>
          <w:rFonts w:cs="宋体" w:asciiTheme="minorEastAsia" w:hAnsiTheme="minorEastAsia"/>
          <w:bCs/>
          <w:kern w:val="0"/>
          <w:szCs w:val="21"/>
        </w:rPr>
        <w:t>审核组组长（签字）：</w:t>
      </w:r>
      <w:r>
        <w:rPr>
          <w:rFonts w:hint="eastAsia" w:cs="宋体" w:asciiTheme="minorEastAsia" w:hAnsiTheme="minorEastAsia"/>
          <w:bCs/>
          <w:kern w:val="0"/>
          <w:szCs w:val="21"/>
        </w:rPr>
        <w:t xml:space="preserve">                                 </w:t>
      </w:r>
      <w:r>
        <w:rPr>
          <w:rFonts w:cs="宋体" w:asciiTheme="minorEastAsia" w:hAnsiTheme="minorEastAsia"/>
          <w:bCs/>
          <w:kern w:val="0"/>
          <w:szCs w:val="21"/>
        </w:rPr>
        <w:t>日</w:t>
      </w:r>
      <w:r>
        <w:rPr>
          <w:rFonts w:hint="eastAsia" w:cs="宋体" w:asciiTheme="minorEastAsia" w:hAnsiTheme="minorEastAsia"/>
          <w:bCs/>
          <w:kern w:val="0"/>
          <w:szCs w:val="21"/>
        </w:rPr>
        <w:t xml:space="preserve"> </w:t>
      </w:r>
      <w:r>
        <w:rPr>
          <w:rFonts w:cs="宋体" w:asciiTheme="minorEastAsia" w:hAnsiTheme="minorEastAsia"/>
          <w:bCs/>
          <w:kern w:val="0"/>
          <w:szCs w:val="21"/>
        </w:rPr>
        <w:t>期：</w:t>
      </w:r>
      <w:r>
        <w:rPr>
          <w:rFonts w:hint="eastAsia" w:cs="宋体" w:asciiTheme="minorEastAsia" w:hAnsiTheme="minorEastAsia"/>
          <w:bCs/>
          <w:kern w:val="0"/>
          <w:szCs w:val="21"/>
          <w:lang w:val="en-US" w:eastAsia="zh-CN"/>
        </w:rPr>
        <w:t>2021.5.19</w:t>
      </w:r>
    </w:p>
    <w:p>
      <w:pPr>
        <w:widowControl/>
        <w:spacing w:line="360" w:lineRule="auto"/>
        <w:jc w:val="left"/>
        <w:rPr>
          <w:rFonts w:ascii="宋体" w:hAnsi="宋体" w:eastAsia="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256540</wp:posOffset>
            </wp:positionV>
            <wp:extent cx="551815" cy="379095"/>
            <wp:effectExtent l="0" t="0" r="6985" b="1905"/>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7"/>
                    <a:stretch>
                      <a:fillRect/>
                    </a:stretch>
                  </pic:blipFill>
                  <pic:spPr>
                    <a:xfrm>
                      <a:off x="0" y="0"/>
                      <a:ext cx="551815" cy="379095"/>
                    </a:xfrm>
                    <a:prstGeom prst="rect">
                      <a:avLst/>
                    </a:prstGeom>
                    <a:solidFill>
                      <a:schemeClr val="bg1">
                        <a:alpha val="0"/>
                      </a:schemeClr>
                    </a:solidFill>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cs="宋体" w:asciiTheme="minorEastAsia" w:hAnsiTheme="minorEastAsia"/>
          <w:bCs/>
          <w:kern w:val="0"/>
          <w:szCs w:val="21"/>
          <w:lang w:val="en-US" w:eastAsia="zh-CN"/>
        </w:rPr>
        <w:t>2021.5.19</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B52E6"/>
    <w:rsid w:val="1C3B2518"/>
    <w:rsid w:val="1EA80BF2"/>
    <w:rsid w:val="2EB104D0"/>
    <w:rsid w:val="2EF7582F"/>
    <w:rsid w:val="2F331386"/>
    <w:rsid w:val="2FA5599D"/>
    <w:rsid w:val="54313FD8"/>
    <w:rsid w:val="6123301A"/>
    <w:rsid w:val="68DD321E"/>
    <w:rsid w:val="6E96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李俐</cp:lastModifiedBy>
  <cp:lastPrinted>2017-09-01T06:24:00Z</cp:lastPrinted>
  <dcterms:modified xsi:type="dcterms:W3CDTF">2021-05-19T00:40:33Z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75A4686D28AC46D6BC5599AA651D9F61</vt:lpwstr>
  </property>
</Properties>
</file>