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0139-2020-2021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11"/>
        <w:gridCol w:w="1389"/>
        <w:gridCol w:w="1222"/>
        <w:gridCol w:w="1233"/>
        <w:gridCol w:w="1356"/>
        <w:gridCol w:w="1174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71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江苏卫星新材料股份有限公司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WXTC-FZ-Z001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YP502N</w:t>
            </w:r>
          </w:p>
        </w:tc>
        <w:tc>
          <w:tcPr>
            <w:tcW w:w="1233" w:type="dxa"/>
            <w:vAlign w:val="center"/>
          </w:tcPr>
          <w:p>
            <w:pPr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Ⅲ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级砝码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广东省世通仪器检测服务有限公司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2021.03.02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高精度电脑厚度测定仪</w:t>
            </w:r>
          </w:p>
        </w:tc>
        <w:tc>
          <w:tcPr>
            <w:tcW w:w="1389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WXTC-ZJ-W007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PN-PT6E </w:t>
            </w:r>
          </w:p>
        </w:tc>
        <w:tc>
          <w:tcPr>
            <w:tcW w:w="1233" w:type="dxa"/>
            <w:vAlign w:val="center"/>
          </w:tcPr>
          <w:p>
            <w:pPr>
              <w:ind w:left="178" w:leftChars="85" w:firstLine="180" w:firstLineChars="100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0.001mm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2021.03.02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236"/>
              </w:tabs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双道原子荧光光度计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AFS-8520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Calibri" w:hAnsi="Calibri" w:cs="Calibri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2181882181303B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砷、锑</w:t>
            </w:r>
            <w:r>
              <w:rPr>
                <w:rFonts w:hint="eastAsia"/>
                <w:szCs w:val="21"/>
                <w:lang w:val="en-US" w:eastAsia="zh-CN"/>
              </w:rPr>
              <w:t>=0.038ng</w:t>
            </w:r>
          </w:p>
          <w:p>
            <w:pPr>
              <w:ind w:firstLine="420" w:firstLineChars="200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原子荧光光度计用砷锑混合溶液标准物质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2021.03.02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品质管理部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236"/>
              </w:tabs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超高效液相色谱仪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E12CHA842G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Calibri" w:hAnsi="Calibri" w:cs="Calibri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ACQUITUPLC-Class</w:t>
            </w:r>
          </w:p>
        </w:tc>
        <w:tc>
          <w:tcPr>
            <w:tcW w:w="1233" w:type="dxa"/>
            <w:vAlign w:val="center"/>
          </w:tcPr>
          <w:p>
            <w:pPr>
              <w:jc w:val="both"/>
              <w:rPr>
                <w:rFonts w:hint="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 xml:space="preserve">U=6.0% </w:t>
            </w:r>
          </w:p>
          <w:p>
            <w:pPr>
              <w:jc w:val="both"/>
              <w:rPr>
                <w:rFonts w:hint="default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液相色谱检定用溶液标准物质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2021.03.02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生产中心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带表卡尺</w:t>
            </w:r>
          </w:p>
        </w:tc>
        <w:tc>
          <w:tcPr>
            <w:tcW w:w="138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WXTC-FZ-030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（0-200）mm</w:t>
            </w:r>
          </w:p>
        </w:tc>
        <w:tc>
          <w:tcPr>
            <w:tcW w:w="1233" w:type="dxa"/>
            <w:vAlign w:val="center"/>
          </w:tcPr>
          <w:p>
            <w:pPr>
              <w:ind w:left="178" w:leftChars="85" w:firstLine="18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bookmarkStart w:id="2" w:name="_GoBack"/>
            <w:bookmarkEnd w:id="2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2021.03.01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生产中心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190635620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0-1.6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)Mpa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0.4级精密压力表检定装置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高邮市计量测试所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2021.04.09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生产中心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2001954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0-2.5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)Mpa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2.5级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0.4级精密压力表检定装置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2021.04.12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生产中心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WXTC-FZ-031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2021.03.13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default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default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default"/>
                <w:szCs w:val="21"/>
                <w:lang w:val="en-US" w:eastAsia="zh-CN"/>
              </w:rPr>
              <w:t>品质部</w:t>
            </w:r>
            <w:r>
              <w:rPr>
                <w:rFonts w:hint="eastAsia"/>
                <w:szCs w:val="21"/>
                <w:lang w:val="en-US" w:eastAsia="zh-CN"/>
              </w:rPr>
              <w:t>负责溯源。公司测量设备除自检外全部委托广东省世通仪器检测服务有限公司、高邮市计量测试所等机构检定/校准，校准/检定证书由品质管理部保存，根据抽查情况，该公司的校准情况符合溯源性要求。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285750</wp:posOffset>
                  </wp:positionV>
                  <wp:extent cx="664210" cy="455930"/>
                  <wp:effectExtent l="0" t="0" r="8890" b="127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455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3948430</wp:posOffset>
                  </wp:positionH>
                  <wp:positionV relativeFrom="paragraph">
                    <wp:posOffset>288925</wp:posOffset>
                  </wp:positionV>
                  <wp:extent cx="770890" cy="314960"/>
                  <wp:effectExtent l="0" t="0" r="3810" b="2540"/>
                  <wp:wrapNone/>
                  <wp:docPr id="2" name="图片 2" descr="06c7cc1385643a881cdf6830818fb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6c7cc1385643a881cdf6830818fbc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660" t="4286" b="4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D51886"/>
    <w:rsid w:val="1DEE5059"/>
    <w:rsid w:val="2D3449AF"/>
    <w:rsid w:val="33C3083A"/>
    <w:rsid w:val="3DA2491E"/>
    <w:rsid w:val="46353C8D"/>
    <w:rsid w:val="4A0A60D6"/>
    <w:rsid w:val="4C3F66D0"/>
    <w:rsid w:val="4FE50886"/>
    <w:rsid w:val="64073C17"/>
    <w:rsid w:val="69F01E77"/>
    <w:rsid w:val="6C0F1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2021-05-15T15:44:34Z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C6609A94F91D4E9299B0DF5021AD0ADE</vt:lpwstr>
  </property>
</Properties>
</file>