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01" w:rightChars="191"/>
        <w:jc w:val="left"/>
        <w:rPr>
          <w:rFonts w:hint="eastAsia" w:ascii="宋体" w:hAnsi="宋体"/>
          <w:b/>
          <w:bCs/>
          <w:sz w:val="24"/>
          <w:szCs w:val="24"/>
        </w:rPr>
      </w:pPr>
      <w:r>
        <w:rPr>
          <w:rFonts w:hint="eastAsia" w:ascii="宋体" w:hAnsi="宋体"/>
          <w:b/>
          <w:bCs/>
          <w:sz w:val="24"/>
          <w:szCs w:val="24"/>
        </w:rPr>
        <w:t>编  号：</w:t>
      </w:r>
      <w:bookmarkStart w:id="0" w:name="合同编号"/>
      <w:r>
        <w:rPr>
          <w:b/>
          <w:bCs/>
          <w:sz w:val="24"/>
          <w:szCs w:val="24"/>
        </w:rPr>
        <w:t>0359-2021-O</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成都欧林生物科技股份有限公司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成都欧林生物科技股份有限公司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成都高新区天欣路99号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成都高新区天欣路99号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王桂渝</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18030682384</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樊绍文</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樊绍文</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王桂渝</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吸附破伤风疫苗、b型流感嗜血杆菌结合疫苗的技术研发</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34.03.01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2020-11-17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供方管理、合同管理。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研发部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风险识别评价管理；策划管理；过程监控管理；监视和测量设备管理；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cs="宋体"/>
                <w:color w:val="000000"/>
                <w:kern w:val="0"/>
                <w:szCs w:val="21"/>
              </w:rPr>
              <w:t>吸附破伤风疫苗、b型流感嗜血杆菌结合疫苗的技术研发</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rPr>
                <w:rFonts w:hint="default" w:ascii="宋体" w:hAnsi="宋体" w:eastAsia="宋体" w:cs="宋体"/>
                <w:szCs w:val="21"/>
                <w:highlight w:val="none"/>
                <w:lang w:val="en-US" w:eastAsia="zh-CN"/>
              </w:rPr>
            </w:pPr>
            <w:r>
              <w:rPr>
                <w:rFonts w:hint="eastAsia"/>
              </w:rPr>
              <w:t>《中华人民共和国疫苗管理法》</w:t>
            </w:r>
            <w:r>
              <w:rPr>
                <w:rFonts w:hint="eastAsia"/>
                <w:lang w:eastAsia="zh-CN"/>
              </w:rPr>
              <w:t>、《中华人民共和国药品管理法》、《</w:t>
            </w:r>
            <w:r>
              <w:rPr>
                <w:rFonts w:hint="eastAsia"/>
              </w:rPr>
              <w:t>中华人民共和国传染病防治法</w:t>
            </w:r>
            <w:r>
              <w:rPr>
                <w:rFonts w:hint="eastAsia"/>
                <w:lang w:eastAsia="zh-CN"/>
              </w:rPr>
              <w:t>》、《</w:t>
            </w:r>
            <w:r>
              <w:rPr>
                <w:rFonts w:hint="eastAsia"/>
              </w:rPr>
              <w:t>实验室生物安全通用要求</w:t>
            </w:r>
            <w:r>
              <w:rPr>
                <w:rFonts w:hint="eastAsia"/>
                <w:lang w:eastAsia="zh-CN"/>
              </w:rPr>
              <w:t>》</w:t>
            </w:r>
            <w:r>
              <w:rPr>
                <w:rFonts w:hint="eastAsia"/>
                <w:lang w:val="en-US" w:eastAsia="zh-CN"/>
              </w:rPr>
              <w:t>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r>
        <w:rPr>
          <w:rFonts w:hint="eastAsia"/>
          <w:b/>
          <w:color w:val="000000" w:themeColor="text1"/>
          <w:spacing w:val="-10"/>
          <w:szCs w:val="21"/>
          <w:u w:val="single"/>
          <w:lang w:val="en-US" w:eastAsia="zh-CN"/>
        </w:rPr>
        <w:t>17</w:t>
      </w:r>
      <w:r>
        <w:rPr>
          <w:rFonts w:hint="eastAsia"/>
          <w:b/>
          <w:color w:val="000000" w:themeColor="text1"/>
          <w:spacing w:val="-10"/>
          <w:szCs w:val="21"/>
        </w:rPr>
        <w:t>日至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5</w:t>
      </w:r>
      <w:r>
        <w:rPr>
          <w:rFonts w:hint="eastAsia"/>
          <w:b/>
          <w:color w:val="000000" w:themeColor="text1"/>
          <w:spacing w:val="-10"/>
          <w:szCs w:val="21"/>
        </w:rPr>
        <w:t>月</w:t>
      </w:r>
      <w:r>
        <w:rPr>
          <w:rFonts w:hint="eastAsia"/>
          <w:b/>
          <w:color w:val="000000" w:themeColor="text1"/>
          <w:spacing w:val="-10"/>
          <w:szCs w:val="21"/>
          <w:u w:val="single"/>
          <w:lang w:val="en-US" w:eastAsia="zh-CN"/>
        </w:rPr>
        <w:t>12</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ascii="宋体" w:hAnsi="宋体" w:cs="宋体"/>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lang w:val="en-US" w:eastAsia="zh-CN"/>
              </w:rPr>
              <w:t>质量、环境和</w:t>
            </w:r>
            <w:r>
              <w:rPr>
                <w:rFonts w:hint="eastAsia" w:ascii="宋体" w:hAnsi="宋体" w:cs="宋体"/>
                <w:szCs w:val="21"/>
              </w:rPr>
              <w:t xml:space="preserve">职业健康安全管理方针： </w:t>
            </w:r>
          </w:p>
          <w:p>
            <w:pPr>
              <w:jc w:val="left"/>
              <w:rPr>
                <w:rFonts w:hint="eastAsia" w:ascii="宋体" w:hAnsi="宋体" w:eastAsia="宋体" w:cs="宋体"/>
                <w:szCs w:val="21"/>
              </w:rPr>
            </w:pPr>
            <w:r>
              <w:rPr>
                <w:rFonts w:hint="eastAsia" w:ascii="宋体" w:hAnsi="宋体" w:cs="宋体"/>
                <w:szCs w:val="21"/>
              </w:rPr>
              <w:t>“</w:t>
            </w:r>
            <w:r>
              <w:rPr>
                <w:rFonts w:hint="eastAsia" w:ascii="宋体" w:hAnsi="宋体" w:cs="宋体"/>
                <w:szCs w:val="21"/>
                <w:lang w:val="en-US" w:eastAsia="zh-CN"/>
              </w:rPr>
              <w:t>产品为人类造福、创行业标杆型企业；节能降耗、保护环境；遵纪守法安全生产、</w:t>
            </w:r>
            <w:r>
              <w:rPr>
                <w:rFonts w:hint="default" w:ascii="宋体" w:hAnsi="宋体" w:cs="宋体"/>
                <w:szCs w:val="21"/>
                <w:lang w:val="en-US" w:eastAsia="zh-CN"/>
              </w:rPr>
              <w:t>关爱员工身心健康</w:t>
            </w:r>
            <w:r>
              <w:rPr>
                <w:rFonts w:hint="eastAsia" w:ascii="宋体" w:hAnsi="宋体" w:cs="宋体"/>
                <w:szCs w:val="21"/>
                <w:lang w:val="en-US" w:eastAsia="zh-CN"/>
              </w:rPr>
              <w:t>、</w:t>
            </w:r>
            <w:r>
              <w:rPr>
                <w:rFonts w:hint="default" w:ascii="宋体" w:hAnsi="宋体" w:cs="宋体"/>
                <w:szCs w:val="21"/>
                <w:lang w:val="en-US" w:eastAsia="zh-CN"/>
              </w:rPr>
              <w:t>群策群力持续改进</w:t>
            </w:r>
            <w:r>
              <w:rPr>
                <w:rFonts w:hint="eastAsia" w:ascii="宋体" w:hAnsi="宋体" w:cs="宋体"/>
                <w:szCs w:val="21"/>
              </w:rPr>
              <w:t>”。</w:t>
            </w:r>
          </w:p>
          <w:p>
            <w:pPr>
              <w:jc w:val="lef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jc w:val="left"/>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w:t>
            </w:r>
            <w:r>
              <w:rPr>
                <w:rFonts w:hint="eastAsia" w:ascii="宋体" w:hAnsi="宋体" w:cs="宋体"/>
                <w:color w:val="000000"/>
                <w:szCs w:val="21"/>
              </w:rPr>
              <w:t>职业健康安全目标</w:t>
            </w:r>
            <w:r>
              <w:rPr>
                <w:rFonts w:hint="eastAsia" w:ascii="宋体" w:hAnsi="宋体" w:cs="宋体"/>
                <w:color w:val="000000"/>
                <w:kern w:val="0"/>
                <w:szCs w:val="21"/>
              </w:rPr>
              <w:t>得到沟通和监视评价，通过数据的汇总统计、描述性统计等方法对目标进行了测量，总体已达到或超过了规定的目标值，但</w:t>
            </w:r>
            <w:r>
              <w:rPr>
                <w:rFonts w:hint="eastAsia" w:ascii="宋体" w:hAnsi="宋体" w:cs="宋体"/>
                <w:color w:val="000000"/>
                <w:szCs w:val="21"/>
              </w:rPr>
              <w:t>职业健康安全目标</w:t>
            </w:r>
            <w:r>
              <w:rPr>
                <w:rFonts w:hint="eastAsia" w:ascii="宋体" w:hAnsi="宋体" w:cs="宋体"/>
                <w:color w:val="000000"/>
                <w:kern w:val="0"/>
                <w:szCs w:val="21"/>
              </w:rPr>
              <w:t>的数据分析利用不到位</w:t>
            </w:r>
          </w:p>
          <w:p>
            <w:pPr>
              <w:ind w:firstLine="525" w:firstLineChars="250"/>
              <w:rPr>
                <w:color w:val="000000"/>
                <w:szCs w:val="21"/>
              </w:rPr>
            </w:pPr>
            <w:r>
              <w:rPr>
                <w:rFonts w:hint="eastAsia"/>
                <w:color w:val="000000"/>
                <w:szCs w:val="21"/>
              </w:rPr>
              <w:t>职业健康安全目标：</w:t>
            </w:r>
          </w:p>
          <w:p>
            <w:pPr>
              <w:pStyle w:val="3"/>
              <w:spacing w:line="360" w:lineRule="auto"/>
              <w:ind w:firstLine="480"/>
              <w:rPr>
                <w:rFonts w:hAnsi="宋体" w:cs="宋体"/>
                <w:bCs/>
              </w:rPr>
            </w:pPr>
            <w:r>
              <w:rPr>
                <w:rFonts w:hint="eastAsia" w:hAnsi="宋体" w:cs="宋体"/>
                <w:bCs/>
              </w:rPr>
              <w:t>1、</w:t>
            </w:r>
            <w:r>
              <w:rPr>
                <w:rFonts w:hint="eastAsia" w:hAnsi="宋体" w:cs="宋体"/>
                <w:bCs/>
                <w:lang w:val="en-US" w:eastAsia="zh-CN"/>
              </w:rPr>
              <w:t>火灾事故为零</w:t>
            </w:r>
            <w:r>
              <w:rPr>
                <w:rFonts w:hint="eastAsia" w:hAnsi="宋体" w:cs="宋体"/>
                <w:bCs/>
              </w:rPr>
              <w:t>；</w:t>
            </w:r>
          </w:p>
          <w:p>
            <w:pPr>
              <w:pStyle w:val="3"/>
              <w:spacing w:line="360" w:lineRule="auto"/>
              <w:ind w:firstLine="480"/>
              <w:rPr>
                <w:rFonts w:hint="eastAsia" w:hAnsi="宋体" w:cs="宋体"/>
                <w:bCs/>
                <w:lang w:val="en-US" w:eastAsia="zh-CN"/>
              </w:rPr>
            </w:pPr>
            <w:r>
              <w:rPr>
                <w:rFonts w:hint="eastAsia" w:ascii="宋体" w:hAnsi="宋体" w:eastAsia="宋体" w:cs="宋体"/>
                <w:bCs/>
                <w:lang w:val="en-US" w:eastAsia="zh-CN"/>
              </w:rPr>
              <w:t>2、</w:t>
            </w:r>
            <w:r>
              <w:rPr>
                <w:rFonts w:hint="eastAsia" w:hAnsi="宋体" w:cs="宋体"/>
                <w:bCs/>
                <w:lang w:val="en-US" w:eastAsia="zh-CN"/>
              </w:rPr>
              <w:t>车辆伤害事故为零；</w:t>
            </w:r>
          </w:p>
          <w:p>
            <w:pPr>
              <w:pStyle w:val="3"/>
              <w:spacing w:line="360" w:lineRule="auto"/>
              <w:ind w:firstLine="480"/>
              <w:rPr>
                <w:rFonts w:hint="default" w:hAnsi="宋体" w:cs="宋体"/>
                <w:bCs/>
                <w:lang w:val="en-US" w:eastAsia="zh-CN"/>
              </w:rPr>
            </w:pPr>
            <w:r>
              <w:rPr>
                <w:rFonts w:hint="eastAsia" w:hAnsi="宋体" w:cs="宋体"/>
                <w:bCs/>
                <w:lang w:val="en-US" w:eastAsia="zh-CN"/>
              </w:rPr>
              <w:t>3、中毒或窒息事故为零。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17</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lang w:val="en-US" w:eastAsia="zh-CN"/>
              </w:rPr>
              <w:t>技术研发和实验室</w:t>
            </w:r>
            <w:r>
              <w:rPr>
                <w:rFonts w:hint="eastAsia" w:ascii="宋体" w:hAnsi="宋体"/>
                <w:szCs w:val="21"/>
                <w:highlight w:val="none"/>
              </w:rPr>
              <w:t>面积</w:t>
            </w:r>
            <w:r>
              <w:rPr>
                <w:rFonts w:hint="eastAsia" w:ascii="宋体" w:hAnsi="宋体"/>
                <w:szCs w:val="21"/>
                <w:highlight w:val="none"/>
                <w:lang w:val="en-US" w:eastAsia="zh-CN"/>
              </w:rPr>
              <w:t>750</w:t>
            </w:r>
            <w:r>
              <w:rPr>
                <w:rFonts w:hint="eastAsia" w:ascii="宋体" w:hAnsi="宋体"/>
                <w:szCs w:val="21"/>
                <w:highlight w:val="none"/>
              </w:rPr>
              <w:t>平方左右。</w:t>
            </w:r>
            <w:r>
              <w:rPr>
                <w:rFonts w:hint="eastAsia" w:ascii="宋体" w:hAnsi="宋体" w:cs="宋体"/>
                <w:szCs w:val="21"/>
                <w:highlight w:val="none"/>
              </w:rPr>
              <w:t>主要设备</w:t>
            </w:r>
            <w:r>
              <w:rPr>
                <w:rFonts w:hint="eastAsia" w:ascii="宋体" w:hAnsi="宋体"/>
                <w:szCs w:val="21"/>
                <w:highlight w:val="none"/>
              </w:rPr>
              <w:t>为</w:t>
            </w:r>
            <w:r>
              <w:rPr>
                <w:rFonts w:hint="eastAsia" w:ascii="宋体" w:hAnsi="宋体" w:cs="宋体"/>
                <w:szCs w:val="21"/>
                <w:highlight w:val="none"/>
                <w:lang w:val="en-US" w:eastAsia="zh-CN"/>
              </w:rPr>
              <w:t>生物安全柜、培养箱、发酵罐、种子罐、灭菌柜和电脑及</w:t>
            </w:r>
            <w:r>
              <w:rPr>
                <w:rFonts w:hint="eastAsia" w:ascii="宋体" w:hAnsi="宋体" w:cs="宋体"/>
                <w:szCs w:val="21"/>
                <w:highlight w:val="none"/>
              </w:rPr>
              <w:t>办公设备等</w:t>
            </w:r>
            <w:r>
              <w:rPr>
                <w:rFonts w:hint="eastAsia" w:ascii="宋体" w:hAnsi="宋体"/>
                <w:szCs w:val="21"/>
                <w:highlight w:val="none"/>
              </w:rPr>
              <w:t>，可以满足</w:t>
            </w:r>
            <w:r>
              <w:rPr>
                <w:rFonts w:ascii="宋体" w:hAnsi="宋体" w:cs="宋体"/>
                <w:color w:val="000000"/>
                <w:kern w:val="0"/>
                <w:szCs w:val="21"/>
                <w:highlight w:val="none"/>
              </w:rPr>
              <w:t>吸附破伤风疫苗、b型流感嗜血杆菌结合疫苗的技术研发</w:t>
            </w:r>
            <w:r>
              <w:rPr>
                <w:rFonts w:hint="eastAsia" w:ascii="宋体" w:hAnsi="宋体"/>
                <w:szCs w:val="21"/>
                <w:highlight w:val="none"/>
              </w:rPr>
              <w:t>的需要</w:t>
            </w:r>
            <w:r>
              <w:rPr>
                <w:rFonts w:hint="eastAsia" w:ascii="宋体" w:hAnsi="宋体" w:cs="宋体"/>
                <w:szCs w:val="21"/>
                <w:highlight w:val="none"/>
              </w:rPr>
              <w:t>。对设备按月方式进行维护保养，并实施。特种设备：</w:t>
            </w:r>
            <w:r>
              <w:rPr>
                <w:rFonts w:hint="eastAsia" w:ascii="宋体" w:hAnsi="宋体" w:cs="宋体"/>
                <w:szCs w:val="21"/>
                <w:highlight w:val="none"/>
                <w:lang w:val="en-US" w:eastAsia="zh-CN"/>
              </w:rPr>
              <w:t>无</w:t>
            </w:r>
            <w:r>
              <w:rPr>
                <w:rFonts w:hint="eastAsia" w:ascii="宋体" w:hAnsi="宋体" w:cs="宋体"/>
                <w:szCs w:val="21"/>
                <w:highlight w:val="none"/>
              </w:rPr>
              <w:t>。公司</w:t>
            </w:r>
            <w:r>
              <w:rPr>
                <w:rFonts w:hint="eastAsia" w:ascii="宋体" w:hAnsi="宋体" w:cs="宋体"/>
                <w:szCs w:val="21"/>
                <w:highlight w:val="none"/>
                <w:lang w:val="en-US" w:eastAsia="zh-CN"/>
              </w:rPr>
              <w:t>未</w:t>
            </w:r>
            <w:r>
              <w:rPr>
                <w:rFonts w:hint="eastAsia" w:ascii="宋体" w:hAnsi="宋体" w:cs="宋体"/>
                <w:szCs w:val="21"/>
                <w:highlight w:val="none"/>
              </w:rPr>
              <w:t>建立信息管理系统用于服务。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cs="宋体"/>
                <w:szCs w:val="21"/>
                <w:lang w:val="en-US" w:eastAsia="zh-CN"/>
              </w:rPr>
              <w:t>及实验室</w:t>
            </w:r>
            <w:r>
              <w:rPr>
                <w:rFonts w:hint="eastAsia" w:ascii="宋体" w:hAnsi="宋体" w:cs="宋体"/>
                <w:szCs w:val="21"/>
              </w:rPr>
              <w:t>场所内设备布置合理，通道畅通，照明设施齐全，均配备了消防设施等设施。办公室明亮，培训场所光线较充足。每月由行政部对工作环境进行定期检查。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default" w:ascii="宋体" w:hAnsi="宋体" w:eastAsia="宋体"/>
                <w:sz w:val="20"/>
                <w:szCs w:val="20"/>
                <w:lang w:val="en-US" w:eastAsia="zh-CN"/>
              </w:rPr>
            </w:pPr>
            <w:r>
              <w:rPr>
                <w:rFonts w:hint="eastAsia" w:ascii="宋体" w:hAnsi="宋体"/>
                <w:sz w:val="20"/>
                <w:szCs w:val="20"/>
              </w:rPr>
              <w:t>消防栓、灭火器、</w:t>
            </w:r>
            <w:r>
              <w:rPr>
                <w:rFonts w:hint="eastAsia" w:ascii="宋体" w:hAnsi="宋体"/>
                <w:sz w:val="20"/>
                <w:szCs w:val="20"/>
                <w:lang w:val="en-US" w:eastAsia="zh-CN"/>
              </w:rPr>
              <w:t>配电箱、防护用品等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highlight w:val="green"/>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组织建立了危险源识别、评价控制程序，识别评价了危险源、风险相关的过程，评价出了重要危险源，与之相关的过程有</w:t>
            </w:r>
            <w:r>
              <w:rPr>
                <w:rFonts w:hint="eastAsia" w:asciiTheme="minorEastAsia" w:hAnsiTheme="minorEastAsia" w:eastAsiaTheme="minorEastAsia"/>
                <w:bCs/>
                <w:iCs/>
                <w:lang w:val="en-US" w:eastAsia="zh-CN"/>
              </w:rPr>
              <w:t>方案设计</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验证</w:t>
            </w:r>
            <w:r>
              <w:rPr>
                <w:rFonts w:hint="eastAsia" w:asciiTheme="minorEastAsia" w:hAnsiTheme="minorEastAsia" w:eastAsiaTheme="minorEastAsia"/>
                <w:bCs/>
                <w:iCs/>
              </w:rPr>
              <w:t>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职业健康安全目标得到沟通和监视评价，通过数据的汇总统计、描述性统计等方法对目标进行了测量，总体已达到或超过了</w:t>
            </w:r>
            <w:r>
              <w:rPr>
                <w:rFonts w:hint="eastAsia" w:ascii="宋体" w:hAnsi="宋体" w:cs="宋体"/>
                <w:color w:val="000000"/>
                <w:szCs w:val="21"/>
                <w:highlight w:val="none"/>
              </w:rPr>
              <w:t>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01" w:firstLineChars="150"/>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szCs w:val="21"/>
                <w:lang w:val="en-US" w:eastAsia="zh-CN"/>
              </w:rPr>
              <w:t>-16日</w:t>
            </w:r>
            <w:r>
              <w:rPr>
                <w:rFonts w:hint="eastAsia" w:ascii="宋体" w:hAnsi="宋体"/>
                <w:szCs w:val="21"/>
              </w:rPr>
              <w:t>，拟定了审核实施表，明确了内审范围，内审人员经培训合格上岗，能力满足要求，未出现审核本部门情况，内审不符合项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w:t>
            </w:r>
            <w:r>
              <w:rPr>
                <w:rFonts w:hint="eastAsia" w:ascii="宋体" w:hAnsi="宋体"/>
                <w:szCs w:val="21"/>
                <w:lang w:val="en-US" w:eastAsia="zh-CN"/>
              </w:rPr>
              <w:t>市场</w:t>
            </w:r>
            <w:r>
              <w:rPr>
                <w:rFonts w:hint="eastAsia" w:ascii="宋体" w:hAnsi="宋体"/>
                <w:szCs w:val="21"/>
              </w:rPr>
              <w:t>部</w:t>
            </w:r>
            <w:r>
              <w:rPr>
                <w:rFonts w:hint="eastAsia" w:ascii="宋体" w:hAnsi="宋体"/>
                <w:szCs w:val="21"/>
                <w:lang w:val="en-US" w:eastAsia="zh-CN"/>
              </w:rPr>
              <w:t>Q9.1.2</w:t>
            </w:r>
            <w:r>
              <w:rPr>
                <w:rFonts w:hint="eastAsia" w:ascii="宋体" w:hAnsi="宋体"/>
                <w:szCs w:val="21"/>
              </w:rPr>
              <w:t>条款</w:t>
            </w:r>
            <w:r>
              <w:rPr>
                <w:rFonts w:hint="eastAsia" w:ascii="宋体" w:hAnsi="宋体"/>
                <w:szCs w:val="21"/>
                <w:lang w:eastAsia="zh-CN"/>
              </w:rPr>
              <w:t>“</w:t>
            </w:r>
            <w:r>
              <w:rPr>
                <w:rFonts w:hint="eastAsia" w:ascii="宋体" w:hAnsi="宋体"/>
              </w:rPr>
              <w:t>部门负责人提供提了顾客满意度调查表，但未对调查结果进行统计分析</w:t>
            </w:r>
            <w:r>
              <w:rPr>
                <w:rFonts w:hint="eastAsia" w:ascii="宋体" w:hAnsi="宋体"/>
                <w:szCs w:val="21"/>
                <w:lang w:eastAsia="zh-CN"/>
              </w:rPr>
              <w:t>”</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sz w:val="20"/>
                <w:szCs w:val="20"/>
              </w:rPr>
            </w:pPr>
            <w:r>
              <w:rPr>
                <w:rFonts w:hint="eastAsia"/>
                <w:sz w:val="20"/>
                <w:szCs w:val="20"/>
              </w:rPr>
              <w:t>不适用</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bookmarkStart w:id="22" w:name="_GoBack"/>
      <w:bookmarkEnd w:id="22"/>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1项，观察项0项，</w:t>
      </w:r>
      <w:r>
        <w:rPr>
          <w:rFonts w:hint="eastAsia"/>
          <w:b/>
          <w:highlight w:val="none"/>
          <w:lang w:val="en-US" w:eastAsia="zh-CN"/>
        </w:rPr>
        <w:t>不符合项</w:t>
      </w:r>
      <w:r>
        <w:rPr>
          <w:rFonts w:hint="eastAsia"/>
          <w:b/>
          <w:highlight w:val="none"/>
        </w:rPr>
        <w:t>分布</w:t>
      </w:r>
      <w:r>
        <w:rPr>
          <w:rFonts w:hint="eastAsia"/>
          <w:b/>
          <w:color w:val="000000" w:themeColor="text1"/>
          <w:highlight w:val="none"/>
        </w:rPr>
        <w:t>在</w:t>
      </w:r>
      <w:r>
        <w:rPr>
          <w:rFonts w:hint="eastAsia"/>
          <w:b/>
          <w:color w:val="000000" w:themeColor="text1"/>
          <w:highlight w:val="none"/>
          <w:lang w:val="en-US" w:eastAsia="zh-CN"/>
        </w:rPr>
        <w:t>行政部</w:t>
      </w:r>
      <w:r>
        <w:rPr>
          <w:rFonts w:hint="eastAsia"/>
          <w:b/>
          <w:color w:val="000000" w:themeColor="text1"/>
          <w:highlight w:val="none"/>
        </w:rPr>
        <w:t>门条款S</w:t>
      </w:r>
      <w:r>
        <w:rPr>
          <w:rFonts w:hint="eastAsia"/>
          <w:b/>
          <w:color w:val="000000" w:themeColor="text1"/>
          <w:highlight w:val="none"/>
          <w:lang w:val="en-US" w:eastAsia="zh-CN"/>
        </w:rPr>
        <w:t>8.2</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hint="eastAsia" w:ascii="宋体" w:hAnsi="宋体" w:eastAsia="宋体"/>
                <w:b/>
                <w:color w:val="000000" w:themeColor="text1"/>
                <w:u w:val="single"/>
                <w:lang w:val="en-GB" w:eastAsia="zh-CN"/>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u w:val="single"/>
              </w:rPr>
              <w:t>吸附破伤风疫苗、b型流感嗜血杆菌结合疫苗的技术研发</w:t>
            </w:r>
            <w:r>
              <w:rPr>
                <w:rFonts w:hint="eastAsia" w:ascii="宋体" w:hAnsi="宋体"/>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天/严重不符合在天，针对不符合原因制定并实施纠正措施。验证方式见不符合项报告。</w:t>
      </w:r>
    </w:p>
    <w:p>
      <w:pPr>
        <w:spacing w:line="360" w:lineRule="auto"/>
        <w:ind w:left="-850" w:leftChars="-405"/>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6432" behindDoc="0" locked="0" layoutInCell="1" allowOverlap="1">
            <wp:simplePos x="0" y="0"/>
            <wp:positionH relativeFrom="column">
              <wp:posOffset>1586865</wp:posOffset>
            </wp:positionH>
            <wp:positionV relativeFrom="paragraph">
              <wp:posOffset>346710</wp:posOffset>
            </wp:positionV>
            <wp:extent cx="757555" cy="419735"/>
            <wp:effectExtent l="0" t="0" r="4445" b="698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sz w:val="26"/>
          <w:szCs w:val="26"/>
        </w:rPr>
      </w:pPr>
      <w:r>
        <w:rPr>
          <w:rFonts w:hint="eastAsia"/>
          <w:b/>
          <w:sz w:val="22"/>
          <w:szCs w:val="22"/>
        </w:rPr>
        <w:drawing>
          <wp:anchor distT="0" distB="0" distL="114300" distR="114300" simplePos="0" relativeHeight="251665408" behindDoc="0" locked="0" layoutInCell="1" allowOverlap="1">
            <wp:simplePos x="0" y="0"/>
            <wp:positionH relativeFrom="column">
              <wp:posOffset>1586230</wp:posOffset>
            </wp:positionH>
            <wp:positionV relativeFrom="paragraph">
              <wp:posOffset>381635</wp:posOffset>
            </wp:positionV>
            <wp:extent cx="757555" cy="419735"/>
            <wp:effectExtent l="0" t="0" r="4445"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844550</wp:posOffset>
            </wp:positionH>
            <wp:positionV relativeFrom="paragraph">
              <wp:posOffset>95250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892C07"/>
    <w:rsid w:val="0582405E"/>
    <w:rsid w:val="0CFC3C60"/>
    <w:rsid w:val="4D2365D2"/>
    <w:rsid w:val="5C484567"/>
    <w:rsid w:val="5E9335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Plain Text"/>
    <w:basedOn w:val="1"/>
    <w:qFormat/>
    <w:uiPriority w:val="99"/>
    <w:rPr>
      <w:rFonts w:ascii="宋体" w:hAnsi="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2021-05-11T15:01:28Z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BDAD3B8ED9954D90837DFA3AB67927F2</vt:lpwstr>
  </property>
</Properties>
</file>