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138545" cy="9110345"/>
            <wp:effectExtent l="0" t="0" r="8255" b="8255"/>
            <wp:docPr id="3" name="图片 3" descr="新文档 2021-06-02 14.04.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6-02 14.04.11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33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河北省国控物业服务有限公司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</w:rPr>
              <w:t>石家庄市站前街12号银泉酒家7楼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霍雪梅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13633118892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霍雪梅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0080-2020-QEO-2021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■适用的法律法规  ■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2021年05月30日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2021年05月31日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张会领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ISC-JSZJ-175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ISC-JSZJ-175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421005</wp:posOffset>
                  </wp:positionV>
                  <wp:extent cx="874395" cy="42100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39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2021.5.30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目标；基础设施；运行环境；监视和测量资源；运行的策划和控制；外部提供的过程、产品和服务的控制；产品和服务要求；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BC审核</w:t>
            </w:r>
            <w:r>
              <w:rPr>
                <w:rFonts w:hint="eastAsia"/>
                <w:sz w:val="21"/>
                <w:szCs w:val="21"/>
              </w:rPr>
              <w:t>Q 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hint="eastAsia"/>
                <w:sz w:val="21"/>
                <w:szCs w:val="21"/>
              </w:rPr>
              <w:t>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8.2/8.4/8.3/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环境因素/危险源识别评价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 审核Q5.3/6.2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A审核EO5.3/6.2/6.1.2/6.1.3/9.1.1/9.1.2/10.2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2021.5.31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继续审核物业部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841EB"/>
    <w:rsid w:val="1284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2021-06-02T06:28:31Z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6FF9A76231DA4D6388EE7DF4FA2E4EF8</vt:lpwstr>
  </property>
</Properties>
</file>