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pacing w:val="-2"/>
                <w:szCs w:val="21"/>
                <w:lang w:val="en-US" w:eastAsia="zh-CN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浙江五饼二鱼实业有限公司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经查询2021年1-4月份能源目标完成情况为8.60kgce/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元.2021年度的能源目标为≦6.93kgce/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，没有对超目标进行原因分析及制定纠正措施。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2916555</wp:posOffset>
                  </wp:positionH>
                  <wp:positionV relativeFrom="paragraph">
                    <wp:posOffset>160655</wp:posOffset>
                  </wp:positionV>
                  <wp:extent cx="476250" cy="344170"/>
                  <wp:effectExtent l="0" t="0" r="6350" b="1143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160655</wp:posOffset>
                  </wp:positionV>
                  <wp:extent cx="476250" cy="344170"/>
                  <wp:effectExtent l="0" t="0" r="6350" b="1143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12065</wp:posOffset>
                  </wp:positionV>
                  <wp:extent cx="659130" cy="307340"/>
                  <wp:effectExtent l="0" t="0" r="1270" b="10160"/>
                  <wp:wrapSquare wrapText="bothSides"/>
                  <wp:docPr id="2" name="图片 2" descr="cb617c1f8c1fefd6a061e2fd1475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b617c1f8c1fefd6a061e2fd1475c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pStyle w:val="2"/>
            </w:pPr>
          </w:p>
          <w:p>
            <w:pPr>
              <w:spacing w:before="120" w:after="1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39370</wp:posOffset>
                  </wp:positionV>
                  <wp:extent cx="476250" cy="344170"/>
                  <wp:effectExtent l="0" t="0" r="6350" b="11430"/>
                  <wp:wrapSquare wrapText="bothSides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经查询2021年1-4月份能源目标完成情况为8.60kgce/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元.2021年度的能源目标为≦6.93kgce/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元，没有对超目标进行原因分析及制定纠正措施。</w:t>
            </w: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对2021年1-4月份能耗超标进行分析，并制定措施。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对相关人员进行ISO50001：2018标准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条款相关要求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理解不深刻。，没有按月定期进行能耗的目标考核。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对相关人员进行ISO50001：2018标准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条款相关要求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的培训，并定期按月对能耗进行考核。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经检查，公司已经对2021年1-4月份能耗超标进行了分析，并制定了措施。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经检查，已经对相关人员进行培训，相关人员已经理解了ISO50001：2018标准10.1条款相关要求。纠正措施有效。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2522A"/>
    <w:rsid w:val="03DB0FCC"/>
    <w:rsid w:val="425167E1"/>
    <w:rsid w:val="6E8A0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2021-05-21T06:27:45Z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1D1CC011670B4CD695B97D7492FE460D</vt:lpwstr>
  </property>
</Properties>
</file>