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65"/>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65" w:type="dxa"/>
            <w:vAlign w:val="center"/>
          </w:tcPr>
          <w:p>
            <w:pPr>
              <w:rPr>
                <w:rFonts w:hint="eastAsia" w:eastAsia="宋体"/>
                <w:sz w:val="24"/>
                <w:szCs w:val="24"/>
                <w:lang w:eastAsia="zh-CN"/>
              </w:rPr>
            </w:pPr>
            <w:r>
              <w:rPr>
                <w:rFonts w:hint="eastAsia"/>
                <w:sz w:val="24"/>
                <w:szCs w:val="24"/>
              </w:rPr>
              <w:t>受审</w:t>
            </w:r>
            <w:r>
              <w:rPr>
                <w:rFonts w:hint="eastAsia" w:ascii="Times New Roman" w:hAnsi="Times New Roman" w:eastAsia="宋体" w:cs="Times New Roman"/>
                <w:sz w:val="24"/>
                <w:szCs w:val="24"/>
              </w:rPr>
              <w:t>核部门：</w:t>
            </w:r>
            <w:r>
              <w:rPr>
                <w:rFonts w:hint="eastAsia" w:ascii="Times New Roman" w:hAnsi="Times New Roman" w:eastAsia="宋体" w:cs="Times New Roman"/>
                <w:sz w:val="24"/>
                <w:szCs w:val="24"/>
                <w:lang w:val="en-US" w:eastAsia="zh-CN"/>
              </w:rPr>
              <w:t xml:space="preserve">管理层           </w:t>
            </w:r>
            <w:r>
              <w:rPr>
                <w:rFonts w:hint="eastAsia" w:ascii="Times New Roman" w:hAnsi="Times New Roman" w:eastAsia="宋体" w:cs="Times New Roman"/>
                <w:sz w:val="24"/>
                <w:szCs w:val="24"/>
              </w:rPr>
              <w:t>主管领导</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w:t>
            </w:r>
            <w:r>
              <w:rPr>
                <w:rFonts w:hint="eastAsia" w:cs="Times New Roman"/>
                <w:sz w:val="24"/>
                <w:szCs w:val="24"/>
                <w:lang w:val="en-US" w:eastAsia="zh-CN"/>
              </w:rPr>
              <w:t>吴元梅、吴丹</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陪同人员：</w:t>
            </w:r>
            <w:r>
              <w:rPr>
                <w:rFonts w:hint="eastAsia" w:cs="Times New Roman"/>
                <w:sz w:val="24"/>
                <w:szCs w:val="24"/>
                <w:lang w:val="en-US" w:eastAsia="zh-CN"/>
              </w:rPr>
              <w:t>张雅娟</w:t>
            </w:r>
          </w:p>
        </w:tc>
        <w:tc>
          <w:tcPr>
            <w:tcW w:w="72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65"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周涛、潘斯贴</w:t>
            </w:r>
            <w:r>
              <w:rPr>
                <w:rFonts w:hint="eastAsia" w:asciiTheme="minorEastAsia" w:hAnsiTheme="minorEastAsia" w:eastAsiaTheme="minorEastAsia" w:cstheme="minorEastAsia"/>
                <w:sz w:val="24"/>
                <w:szCs w:val="24"/>
                <w:lang w:val="en-US" w:eastAsia="zh-CN"/>
              </w:rPr>
              <w:t xml:space="preserve">            审核时间：2021.5.15</w:t>
            </w:r>
          </w:p>
        </w:tc>
        <w:tc>
          <w:tcPr>
            <w:tcW w:w="72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65" w:type="dxa"/>
            <w:vAlign w:val="center"/>
          </w:tcPr>
          <w:p>
            <w:pPr>
              <w:rPr>
                <w:rFonts w:hint="eastAsia"/>
                <w:sz w:val="24"/>
                <w:szCs w:val="24"/>
              </w:rPr>
            </w:pPr>
            <w:r>
              <w:rPr>
                <w:rFonts w:hint="eastAsia"/>
                <w:sz w:val="24"/>
                <w:szCs w:val="24"/>
              </w:rPr>
              <w:t>审核条款：4.1 理解组织及其所处的环境、4.2理解相关方的需求和期望、4.3 确定能源管理体系的范围、4.4 能源管理体系、5.1 领导作用和承诺、5.2 能源方针、5.3 组织的岗位、职责和权限、6.1 应对风险和机遇的措施、7.1 资源、9.3 管理评审、10.2 持续改进</w:t>
            </w:r>
          </w:p>
        </w:tc>
        <w:tc>
          <w:tcPr>
            <w:tcW w:w="72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left"/>
              <w:rPr>
                <w:rFonts w:ascii="Times New Roman" w:hAnsi="Times New Roman" w:eastAsia="宋体" w:cs="Times New Roman"/>
                <w:kern w:val="2"/>
                <w:sz w:val="21"/>
                <w:lang w:val="en-US" w:eastAsia="zh-CN" w:bidi="ar-SA"/>
              </w:rPr>
            </w:pPr>
            <w:r>
              <w:rPr>
                <w:rFonts w:hint="eastAsia" w:ascii="宋体" w:hAnsi="宋体" w:eastAsia="宋体" w:cs="宋体"/>
                <w:b w:val="0"/>
                <w:bCs w:val="0"/>
                <w:color w:val="auto"/>
                <w:sz w:val="24"/>
                <w:szCs w:val="24"/>
                <w:lang w:val="en-US" w:eastAsia="zh-CN"/>
              </w:rPr>
              <w:t>理解组织及其所处的环境</w:t>
            </w:r>
          </w:p>
        </w:tc>
        <w:tc>
          <w:tcPr>
            <w:tcW w:w="960" w:type="dxa"/>
            <w:vAlign w:val="top"/>
          </w:tcPr>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4.1</w:t>
            </w:r>
          </w:p>
          <w:p>
            <w:pPr>
              <w:jc w:val="left"/>
              <w:rPr>
                <w:rFonts w:hint="eastAsia" w:ascii="宋体" w:hAnsi="宋体" w:eastAsia="宋体" w:cs="宋体"/>
                <w:b w:val="0"/>
                <w:bCs w:val="0"/>
                <w:color w:val="auto"/>
                <w:kern w:val="2"/>
                <w:sz w:val="24"/>
                <w:szCs w:val="24"/>
                <w:u w:val="none"/>
                <w:lang w:val="en-US" w:eastAsia="zh-CN" w:bidi="ar-SA"/>
              </w:rPr>
            </w:pPr>
          </w:p>
        </w:tc>
        <w:tc>
          <w:tcPr>
            <w:tcW w:w="10865" w:type="dxa"/>
            <w:vAlign w:val="top"/>
          </w:tcPr>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编制了《组织内外部环境因素清单》包括组织应确定与其宗旨相关的，并影响其实现其EnMS预期结果（s）以及改进能源绩效的能力的外部和内部问题等内容其中；</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内部环境问题</w:t>
            </w:r>
            <w:r>
              <w:rPr>
                <w:rFonts w:hint="eastAsia" w:ascii="宋体" w:hAnsi="宋体" w:cs="宋体"/>
                <w:b w:val="0"/>
                <w:bCs w:val="0"/>
                <w:color w:val="auto"/>
                <w:sz w:val="24"/>
                <w:szCs w:val="24"/>
                <w:lang w:val="en-US" w:eastAsia="zh-CN"/>
              </w:rPr>
              <w:t>10</w:t>
            </w:r>
            <w:r>
              <w:rPr>
                <w:rFonts w:hint="eastAsia" w:ascii="宋体" w:hAnsi="宋体" w:eastAsia="宋体" w:cs="宋体"/>
                <w:b w:val="0"/>
                <w:bCs w:val="0"/>
                <w:color w:val="auto"/>
                <w:sz w:val="24"/>
                <w:szCs w:val="24"/>
                <w:lang w:val="en-US" w:eastAsia="zh-CN"/>
              </w:rPr>
              <w:t>条、包括“组织的总体表现”、“财务状况”、“基础设施”、“过程运行的环境”、“组织的知识”、“人员能力”、“组织文化”、“工会谈判和协议”、“过程的复杂程度”、“生产或交付能力”、“</w:t>
            </w:r>
            <w:r>
              <w:rPr>
                <w:rFonts w:hint="eastAsia"/>
                <w:sz w:val="24"/>
                <w:szCs w:val="24"/>
                <w:lang w:val="en-US" w:eastAsia="zh-CN"/>
              </w:rPr>
              <w:t>质量</w:t>
            </w:r>
            <w:r>
              <w:rPr>
                <w:rFonts w:hint="eastAsia" w:ascii="宋体" w:hAnsi="宋体" w:eastAsia="宋体" w:cs="宋体"/>
                <w:b w:val="0"/>
                <w:bCs w:val="0"/>
                <w:color w:val="auto"/>
                <w:sz w:val="24"/>
                <w:szCs w:val="24"/>
                <w:lang w:val="en-US" w:eastAsia="zh-CN"/>
              </w:rPr>
              <w:t>体系的绩效相应的盈利状况”、“组织的结构、程序及组织架构”、“决策的规则”等；</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外部环境问题“</w:t>
            </w:r>
            <w:r>
              <w:rPr>
                <w:rFonts w:hint="eastAsia" w:ascii="宋体" w:hAnsi="宋体" w:cs="宋体"/>
                <w:b w:val="0"/>
                <w:bCs w:val="0"/>
                <w:color w:val="auto"/>
                <w:sz w:val="24"/>
                <w:szCs w:val="24"/>
                <w:lang w:val="en-US" w:eastAsia="zh-CN"/>
              </w:rPr>
              <w:t>6</w:t>
            </w:r>
            <w:r>
              <w:rPr>
                <w:rFonts w:hint="eastAsia" w:ascii="宋体" w:hAnsi="宋体" w:eastAsia="宋体" w:cs="宋体"/>
                <w:b w:val="0"/>
                <w:bCs w:val="0"/>
                <w:color w:val="auto"/>
                <w:sz w:val="24"/>
                <w:szCs w:val="24"/>
                <w:lang w:val="en-US" w:eastAsia="zh-CN"/>
              </w:rPr>
              <w:t>条、包括“宏观经济学因素”、“货币兑换汇率预测”、“国家经济走向”、“通货膨胀”、“信贷可信性”等；</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——查上述内容组织宗旨战略方向基本相关、并对</w:t>
            </w:r>
            <w:r>
              <w:rPr>
                <w:rFonts w:hint="eastAsia" w:ascii="宋体" w:hAnsi="宋体" w:cs="宋体"/>
                <w:b w:val="0"/>
                <w:bCs w:val="0"/>
                <w:color w:val="auto"/>
                <w:sz w:val="24"/>
                <w:szCs w:val="24"/>
                <w:u w:val="single"/>
                <w:lang w:val="en-US" w:eastAsia="zh-CN"/>
              </w:rPr>
              <w:t>能源</w:t>
            </w:r>
            <w:r>
              <w:rPr>
                <w:rFonts w:hint="eastAsia" w:ascii="宋体" w:hAnsi="宋体" w:eastAsia="宋体" w:cs="宋体"/>
                <w:b w:val="0"/>
                <w:bCs w:val="0"/>
                <w:color w:val="auto"/>
                <w:sz w:val="24"/>
                <w:szCs w:val="24"/>
                <w:u w:val="single"/>
                <w:lang w:val="en-US" w:eastAsia="zh-CN"/>
              </w:rPr>
              <w:t>管</w:t>
            </w:r>
            <w:r>
              <w:rPr>
                <w:rFonts w:hint="eastAsia" w:ascii="宋体" w:hAnsi="宋体" w:eastAsia="宋体" w:cs="宋体"/>
                <w:b w:val="0"/>
                <w:bCs w:val="0"/>
                <w:color w:val="auto"/>
                <w:sz w:val="24"/>
                <w:szCs w:val="24"/>
                <w:lang w:val="en-US" w:eastAsia="zh-CN"/>
              </w:rPr>
              <w:t>理体系实现策划能力可以产生一定影响；</w:t>
            </w:r>
          </w:p>
          <w:p>
            <w:pPr>
              <w:jc w:val="left"/>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sz w:val="24"/>
                <w:szCs w:val="24"/>
                <w:lang w:val="en-US" w:eastAsia="zh-CN"/>
              </w:rPr>
              <w:t>成文信息及时更新日期202</w:t>
            </w:r>
            <w:r>
              <w:rPr>
                <w:rFonts w:hint="eastAsia" w:ascii="宋体" w:hAnsi="宋体" w:cs="宋体"/>
                <w:b w:val="0"/>
                <w:bCs w:val="0"/>
                <w:color w:val="auto"/>
                <w:sz w:val="24"/>
                <w:szCs w:val="24"/>
                <w:lang w:val="en-US" w:eastAsia="zh-CN"/>
              </w:rPr>
              <w:t>0</w:t>
            </w: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val="en-US" w:eastAsia="zh-CN"/>
              </w:rPr>
              <w:t>10</w:t>
            </w: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val="en-US" w:eastAsia="zh-CN"/>
              </w:rPr>
              <w:t>21</w:t>
            </w:r>
            <w:r>
              <w:rPr>
                <w:rFonts w:hint="eastAsia" w:ascii="宋体" w:hAnsi="宋体" w:eastAsia="宋体" w:cs="宋体"/>
                <w:b w:val="0"/>
                <w:bCs w:val="0"/>
                <w:color w:val="auto"/>
                <w:sz w:val="24"/>
                <w:szCs w:val="24"/>
                <w:lang w:val="en-US" w:eastAsia="zh-CN"/>
              </w:rPr>
              <w:t>、有编审批；</w:t>
            </w:r>
          </w:p>
        </w:tc>
        <w:tc>
          <w:tcPr>
            <w:tcW w:w="724" w:type="dxa"/>
            <w:vAlign w:val="top"/>
          </w:tcPr>
          <w:p>
            <w:pPr>
              <w:rPr>
                <w:lang w:val="en-US" w:eastAsia="zh-CN"/>
              </w:rPr>
            </w:pPr>
          </w:p>
          <w:p>
            <w:pPr>
              <w:pStyle w:val="2"/>
              <w:rPr>
                <w:rFonts w:ascii="Times New Roman" w:hAnsi="Times New Roman" w:eastAsia="宋体" w:cs="Times New Roman"/>
                <w:kern w:val="2"/>
                <w:sz w:val="21"/>
                <w:lang w:val="en-US" w:eastAsia="zh-CN" w:bidi="ar-SA"/>
              </w:rPr>
            </w:pPr>
          </w:p>
          <w:p>
            <w:pPr>
              <w:pStyle w:val="2"/>
              <w:rPr>
                <w:rFonts w:ascii="Times New Roman" w:hAnsi="Times New Roman" w:eastAsia="宋体" w:cs="Times New Roman"/>
                <w:kern w:val="2"/>
                <w:sz w:val="21"/>
                <w:lang w:val="en-US" w:eastAsia="zh-CN" w:bidi="ar-SA"/>
              </w:rPr>
            </w:pPr>
          </w:p>
          <w:p>
            <w:pPr>
              <w:pStyle w:val="2"/>
              <w:rPr>
                <w:rFonts w:ascii="Times New Roman" w:hAnsi="Times New Roman" w:eastAsia="宋体" w:cs="Times New Roman"/>
                <w:kern w:val="2"/>
                <w:sz w:val="21"/>
                <w:lang w:val="en-US" w:eastAsia="zh-CN" w:bidi="ar-SA"/>
              </w:rPr>
            </w:pPr>
          </w:p>
          <w:p>
            <w:pPr>
              <w:pStyle w:val="2"/>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理解相关方的需求和期望</w:t>
            </w:r>
          </w:p>
          <w:p>
            <w:pPr>
              <w:jc w:val="left"/>
              <w:rPr>
                <w:rFonts w:hint="eastAsia" w:ascii="宋体" w:hAnsi="宋体" w:eastAsia="宋体" w:cs="宋体"/>
                <w:b w:val="0"/>
                <w:bCs w:val="0"/>
                <w:color w:val="auto"/>
                <w:sz w:val="24"/>
                <w:szCs w:val="24"/>
                <w:lang w:val="en-US" w:eastAsia="zh-CN"/>
              </w:rPr>
            </w:pPr>
          </w:p>
          <w:p>
            <w:pPr>
              <w:jc w:val="left"/>
              <w:rPr>
                <w:rFonts w:hint="eastAsia" w:ascii="宋体" w:hAnsi="宋体" w:eastAsia="宋体" w:cs="宋体"/>
                <w:b w:val="0"/>
                <w:bCs w:val="0"/>
                <w:color w:val="auto"/>
                <w:sz w:val="24"/>
                <w:szCs w:val="24"/>
                <w:lang w:val="en-US" w:eastAsia="zh-CN"/>
              </w:rPr>
            </w:pPr>
          </w:p>
          <w:p>
            <w:pPr>
              <w:jc w:val="left"/>
              <w:rPr>
                <w:rFonts w:hint="eastAsia" w:ascii="宋体" w:hAnsi="宋体" w:eastAsia="宋体" w:cs="宋体"/>
                <w:b w:val="0"/>
                <w:bCs w:val="0"/>
                <w:color w:val="auto"/>
                <w:sz w:val="24"/>
                <w:szCs w:val="24"/>
                <w:lang w:val="en-US" w:eastAsia="zh-CN"/>
              </w:rPr>
            </w:pPr>
          </w:p>
          <w:p>
            <w:pPr>
              <w:jc w:val="left"/>
              <w:rPr>
                <w:rFonts w:hint="eastAsia" w:ascii="宋体" w:hAnsi="宋体" w:eastAsia="宋体" w:cs="宋体"/>
                <w:b w:val="0"/>
                <w:bCs w:val="0"/>
                <w:color w:val="auto"/>
                <w:sz w:val="24"/>
                <w:szCs w:val="24"/>
                <w:lang w:val="en-US" w:eastAsia="zh-CN"/>
              </w:rPr>
            </w:pPr>
          </w:p>
          <w:p>
            <w:pPr>
              <w:jc w:val="left"/>
              <w:rPr>
                <w:rFonts w:ascii="Times New Roman" w:hAnsi="Times New Roman" w:eastAsia="宋体" w:cs="Times New Roman"/>
                <w:kern w:val="2"/>
                <w:sz w:val="21"/>
                <w:lang w:val="en-US" w:eastAsia="zh-CN" w:bidi="ar-SA"/>
              </w:rPr>
            </w:pPr>
          </w:p>
        </w:tc>
        <w:tc>
          <w:tcPr>
            <w:tcW w:w="960" w:type="dxa"/>
            <w:vAlign w:val="top"/>
          </w:tcPr>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4.2 </w:t>
            </w:r>
          </w:p>
          <w:p>
            <w:pPr>
              <w:jc w:val="left"/>
              <w:rPr>
                <w:rFonts w:ascii="Times New Roman" w:hAnsi="Times New Roman" w:eastAsia="宋体" w:cs="Times New Roman"/>
                <w:kern w:val="2"/>
                <w:sz w:val="21"/>
                <w:lang w:val="en-US" w:eastAsia="zh-CN" w:bidi="ar-SA"/>
              </w:rPr>
            </w:pPr>
          </w:p>
        </w:tc>
        <w:tc>
          <w:tcPr>
            <w:tcW w:w="10865" w:type="dxa"/>
            <w:vAlign w:val="top"/>
          </w:tcPr>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编制了《相关方及其需求清单》包括与能源绩效和EnMS有关的利益关系方及其需要的内容、及监视和评审记录基本有效、参评人等信息；</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其中相关方共</w:t>
            </w: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lang w:val="en-US" w:eastAsia="zh-CN"/>
              </w:rPr>
              <w:t>条、具体“顾客，雇员及其他为组织工作的人员，法律法规及监督机关，地方社会团体，非政府组织”等；</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查其需求包括“顾客的要求、例如符合性、价格、安全性”、“与顾客达成的商业合同”、“行业规范及标准”、“行业许可、营业执照、其他授权”、“条约、公约、草案”、“和公共机构及顾客的协议”等；</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查组织监视和评审这些相关方的信息及其相关要求基本有效；成文信息及时更新日期202</w:t>
            </w:r>
            <w:r>
              <w:rPr>
                <w:rFonts w:hint="eastAsia" w:ascii="宋体" w:hAnsi="宋体" w:cs="宋体"/>
                <w:b w:val="0"/>
                <w:bCs w:val="0"/>
                <w:color w:val="auto"/>
                <w:sz w:val="24"/>
                <w:szCs w:val="24"/>
                <w:lang w:val="en-US" w:eastAsia="zh-CN"/>
              </w:rPr>
              <w:t>0</w:t>
            </w: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val="en-US" w:eastAsia="zh-CN"/>
              </w:rPr>
              <w:t>10</w:t>
            </w: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val="en-US" w:eastAsia="zh-CN"/>
              </w:rPr>
              <w:t>21</w:t>
            </w:r>
            <w:r>
              <w:rPr>
                <w:rFonts w:hint="eastAsia" w:ascii="宋体" w:hAnsi="宋体" w:eastAsia="宋体" w:cs="宋体"/>
                <w:b w:val="0"/>
                <w:bCs w:val="0"/>
                <w:color w:val="auto"/>
                <w:sz w:val="24"/>
                <w:szCs w:val="24"/>
                <w:lang w:val="en-US" w:eastAsia="zh-CN"/>
              </w:rPr>
              <w:t>、、有编审批；</w:t>
            </w:r>
          </w:p>
          <w:p>
            <w:pPr>
              <w:jc w:val="left"/>
              <w:rPr>
                <w:rFonts w:hint="eastAsia" w:ascii="宋体" w:hAnsi="宋体" w:eastAsia="宋体" w:cs="宋体"/>
                <w:color w:val="auto"/>
                <w:kern w:val="2"/>
                <w:sz w:val="24"/>
                <w:szCs w:val="24"/>
                <w:lang w:val="en-US" w:eastAsia="zh-CN" w:bidi="ar-SA"/>
              </w:rPr>
            </w:pPr>
          </w:p>
        </w:tc>
        <w:tc>
          <w:tcPr>
            <w:tcW w:w="724" w:type="dxa"/>
            <w:vAlign w:val="top"/>
          </w:tcPr>
          <w:p>
            <w:pPr>
              <w:rPr>
                <w:rFonts w:hint="eastAsia"/>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p>
            <w:pPr>
              <w:pStyle w:val="2"/>
              <w:rPr>
                <w:rFonts w:hint="eastAsia" w:ascii="宋体" w:hAnsi="宋体" w:eastAsia="宋体" w:cs="宋体"/>
                <w:sz w:val="24"/>
                <w:szCs w:val="24"/>
              </w:rPr>
            </w:pPr>
          </w:p>
          <w:p>
            <w:pPr>
              <w:pStyle w:val="2"/>
              <w:ind w:left="0" w:leftChars="0" w:firstLine="0" w:firstLineChars="0"/>
              <w:rPr>
                <w:rFonts w:hint="eastAsia" w:ascii="宋体" w:hAnsi="宋体" w:eastAsia="宋体" w:cs="宋体"/>
                <w:sz w:val="24"/>
                <w:szCs w:val="24"/>
              </w:rPr>
            </w:pPr>
          </w:p>
          <w:p>
            <w:pPr>
              <w:pStyle w:val="2"/>
              <w:rPr>
                <w:rFonts w:hint="eastAsia" w:ascii="宋体" w:hAnsi="宋体" w:eastAsia="宋体" w:cs="宋体"/>
                <w:sz w:val="24"/>
                <w:szCs w:val="24"/>
              </w:rPr>
            </w:pPr>
          </w:p>
          <w:p>
            <w:pPr>
              <w:pStyle w:val="2"/>
              <w:ind w:firstLine="240" w:firstLineChars="100"/>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法律法规和其他要求</w:t>
            </w:r>
          </w:p>
          <w:p>
            <w:pPr>
              <w:rPr>
                <w:rFonts w:hint="eastAsia" w:ascii="宋体" w:hAnsi="宋体" w:eastAsia="宋体" w:cs="宋体"/>
                <w:sz w:val="24"/>
                <w:szCs w:val="24"/>
                <w:lang w:val="en-US" w:eastAsia="zh-CN"/>
              </w:rPr>
            </w:pPr>
          </w:p>
        </w:tc>
        <w:tc>
          <w:tcPr>
            <w:tcW w:w="960" w:type="dxa"/>
            <w:vAlign w:val="top"/>
          </w:tcPr>
          <w:p>
            <w:pPr>
              <w:rPr>
                <w:rFonts w:hint="eastAsia" w:ascii="宋体" w:hAnsi="宋体" w:eastAsia="宋体" w:cs="宋体"/>
                <w:sz w:val="24"/>
                <w:szCs w:val="24"/>
                <w:lang w:val="en-US" w:eastAsia="zh-CN"/>
              </w:rPr>
            </w:pPr>
          </w:p>
        </w:tc>
        <w:tc>
          <w:tcPr>
            <w:tcW w:w="10865"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编制了《法律法规</w:t>
            </w:r>
            <w:r>
              <w:rPr>
                <w:rFonts w:hint="eastAsia" w:ascii="宋体" w:hAnsi="宋体" w:eastAsia="宋体" w:cs="宋体"/>
                <w:sz w:val="24"/>
                <w:szCs w:val="24"/>
                <w:lang w:val="en-US" w:eastAsia="zh-CN"/>
              </w:rPr>
              <w:t>和其他要求清单》</w:t>
            </w:r>
            <w:r>
              <w:rPr>
                <w:rFonts w:hint="eastAsia" w:ascii="宋体" w:hAnsi="宋体" w:eastAsia="宋体" w:cs="宋体"/>
                <w:sz w:val="24"/>
                <w:szCs w:val="24"/>
                <w:lang w:val="en-US" w:eastAsia="zh-CN"/>
              </w:rPr>
              <w:t>其中法律法规40</w:t>
            </w:r>
            <w:r>
              <w:rPr>
                <w:rFonts w:hint="eastAsia" w:ascii="宋体" w:hAnsi="宋体" w:eastAsia="宋体" w:cs="宋体"/>
                <w:sz w:val="24"/>
                <w:szCs w:val="24"/>
                <w:lang w:val="en-US" w:eastAsia="zh-CN"/>
              </w:rPr>
              <w:t>条、抽查若干：</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《中华人民共和国节约能源法》发布日期、</w:t>
            </w:r>
            <w:r>
              <w:rPr>
                <w:rFonts w:hint="eastAsia" w:ascii="宋体" w:hAnsi="宋体" w:eastAsia="宋体" w:cs="宋体"/>
                <w:sz w:val="24"/>
                <w:szCs w:val="24"/>
                <w:lang w:val="en-US" w:eastAsia="zh-CN"/>
              </w:rPr>
              <w:t>实施日期、适用条款；《中华人民共和国可再生能源法》发布日期、</w:t>
            </w:r>
            <w:r>
              <w:rPr>
                <w:rFonts w:hint="eastAsia" w:ascii="宋体" w:hAnsi="宋体" w:eastAsia="宋体" w:cs="宋体"/>
                <w:sz w:val="24"/>
                <w:szCs w:val="24"/>
                <w:lang w:val="en-US" w:eastAsia="zh-CN"/>
              </w:rPr>
              <w:t>实施日期、适用条款；《中华人民共和国清洁生产促进法》发布日期、</w:t>
            </w:r>
            <w:r>
              <w:rPr>
                <w:rFonts w:hint="eastAsia" w:ascii="宋体" w:hAnsi="宋体" w:eastAsia="宋体" w:cs="宋体"/>
                <w:sz w:val="24"/>
                <w:szCs w:val="24"/>
                <w:lang w:val="en-US" w:eastAsia="zh-CN"/>
              </w:rPr>
              <w:t>实施日期、适用条款；</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另抽查其他要求</w:t>
            </w:r>
            <w:r>
              <w:rPr>
                <w:rFonts w:hint="eastAsia" w:ascii="宋体" w:hAnsi="宋体" w:eastAsia="宋体" w:cs="宋体"/>
                <w:sz w:val="24"/>
                <w:szCs w:val="24"/>
                <w:lang w:val="en-US" w:eastAsia="zh-CN"/>
              </w:rPr>
              <w:t>若干条：《GBT17167用能计量器具》、《企业能源审计技术通则__GB》、《GBT 15587-2008 工业企业能源管理导则》、《GBT 2587-2009 用能设备能量平衡通则》、《GBT 3484-2009 企业能量平衡通则》等、查“发布日期、</w:t>
            </w:r>
            <w:r>
              <w:rPr>
                <w:rFonts w:hint="eastAsia" w:ascii="宋体" w:hAnsi="宋体" w:eastAsia="宋体" w:cs="宋体"/>
                <w:sz w:val="24"/>
                <w:szCs w:val="24"/>
                <w:lang w:val="en-US" w:eastAsia="zh-CN"/>
              </w:rPr>
              <w:t>实施日期、适用条款”等信息基本适于本组织实际情况；</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上述信息来源：网络、政府下达文件等；</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组织定期对收集的法律法规和其他要求进行了评审、包括“适用性”、“合规性”等；</w:t>
            </w:r>
          </w:p>
        </w:tc>
        <w:tc>
          <w:tcPr>
            <w:tcW w:w="724" w:type="dxa"/>
            <w:vAlign w:val="top"/>
          </w:tcPr>
          <w:p>
            <w:pPr>
              <w:rPr>
                <w:rFonts w:hint="eastAsia"/>
                <w:lang w:val="en-US" w:eastAsia="zh-CN"/>
              </w:rPr>
            </w:pPr>
          </w:p>
          <w:p>
            <w:pPr>
              <w:pStyle w:val="2"/>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pStyle w:val="2"/>
              <w:rPr>
                <w:rFonts w:hint="default"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trPr>
        <w:tc>
          <w:tcPr>
            <w:tcW w:w="2160"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确定能源管理体系的范围</w:t>
            </w:r>
          </w:p>
          <w:p>
            <w:pPr>
              <w:rPr>
                <w:rFonts w:ascii="Times New Roman" w:hAnsi="Times New Roman" w:eastAsia="宋体" w:cs="Times New Roman"/>
                <w:kern w:val="2"/>
                <w:sz w:val="21"/>
                <w:lang w:val="en-US" w:eastAsia="zh-CN" w:bidi="ar-SA"/>
              </w:rPr>
            </w:pPr>
          </w:p>
        </w:tc>
        <w:tc>
          <w:tcPr>
            <w:tcW w:w="960"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4.3 </w:t>
            </w:r>
          </w:p>
          <w:p>
            <w:pPr>
              <w:rPr>
                <w:rFonts w:hint="eastAsia" w:ascii="宋体" w:hAnsi="宋体" w:eastAsia="宋体" w:cs="宋体"/>
                <w:color w:val="auto"/>
                <w:kern w:val="2"/>
                <w:sz w:val="24"/>
                <w:szCs w:val="24"/>
                <w:lang w:val="en-US" w:eastAsia="zh-CN" w:bidi="ar-SA"/>
              </w:rPr>
            </w:pPr>
          </w:p>
        </w:tc>
        <w:tc>
          <w:tcPr>
            <w:tcW w:w="10865" w:type="dxa"/>
            <w:vAlign w:val="center"/>
          </w:tcPr>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查已经成文信息包括：</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1.“内、外部因素”及“相关方及其需求”； </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组</w:t>
            </w:r>
            <w:r>
              <w:rPr>
                <w:rFonts w:hint="eastAsia" w:ascii="宋体" w:hAnsi="宋体" w:eastAsia="宋体" w:cs="宋体"/>
                <w:sz w:val="24"/>
                <w:szCs w:val="24"/>
                <w:u w:val="single"/>
              </w:rPr>
              <w:t>织界定的</w:t>
            </w:r>
            <w:r>
              <w:rPr>
                <w:rFonts w:hint="eastAsia" w:ascii="宋体" w:hAnsi="宋体" w:eastAsia="宋体" w:cs="宋体"/>
                <w:sz w:val="24"/>
                <w:szCs w:val="24"/>
                <w:u w:val="single"/>
                <w:lang w:eastAsia="zh-CN"/>
              </w:rPr>
              <w:t>能源</w:t>
            </w:r>
            <w:r>
              <w:rPr>
                <w:rFonts w:hint="eastAsia" w:ascii="宋体" w:hAnsi="宋体" w:eastAsia="宋体" w:cs="宋体"/>
                <w:sz w:val="24"/>
                <w:szCs w:val="24"/>
                <w:u w:val="single"/>
              </w:rPr>
              <w:t>管理体系的</w:t>
            </w:r>
            <w:r>
              <w:rPr>
                <w:rFonts w:hint="eastAsia" w:ascii="宋体" w:hAnsi="宋体" w:eastAsia="宋体" w:cs="宋体"/>
                <w:sz w:val="24"/>
                <w:szCs w:val="24"/>
              </w:rPr>
              <w:t>范围</w:t>
            </w:r>
            <w:r>
              <w:rPr>
                <w:rFonts w:hint="eastAsia" w:ascii="宋体" w:hAnsi="宋体" w:eastAsia="宋体" w:cs="宋体"/>
                <w:sz w:val="24"/>
                <w:szCs w:val="24"/>
                <w:lang w:eastAsia="zh-CN"/>
              </w:rPr>
              <w:t>：</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位于</w:t>
            </w:r>
            <w:r>
              <w:rPr>
                <w:rFonts w:hint="eastAsia" w:ascii="宋体" w:hAnsi="宋体" w:cs="宋体"/>
                <w:sz w:val="24"/>
                <w:szCs w:val="24"/>
                <w:lang w:val="en-US" w:eastAsia="zh-CN"/>
              </w:rPr>
              <w:t>嘉兴市秀洲区王江泾镇元丰东路58号</w:t>
            </w:r>
            <w:r>
              <w:rPr>
                <w:rFonts w:hint="eastAsia" w:ascii="宋体" w:hAnsi="宋体" w:eastAsia="宋体" w:cs="宋体"/>
                <w:sz w:val="24"/>
                <w:szCs w:val="24"/>
                <w:lang w:val="en-US" w:eastAsia="zh-CN"/>
              </w:rPr>
              <w:t>的</w:t>
            </w:r>
            <w:r>
              <w:rPr>
                <w:rFonts w:hint="eastAsia" w:ascii="宋体" w:hAnsi="宋体" w:cs="宋体"/>
                <w:sz w:val="24"/>
                <w:szCs w:val="24"/>
                <w:lang w:val="en-US" w:eastAsia="zh-CN"/>
              </w:rPr>
              <w:t>浙江五饼二鱼实业有限公司</w:t>
            </w:r>
            <w:r>
              <w:rPr>
                <w:rFonts w:hint="eastAsia" w:ascii="宋体" w:hAnsi="宋体" w:eastAsia="宋体" w:cs="宋体"/>
                <w:sz w:val="24"/>
                <w:szCs w:val="24"/>
                <w:lang w:val="en-US" w:eastAsia="zh-CN"/>
              </w:rPr>
              <w:t>的</w:t>
            </w:r>
            <w:r>
              <w:rPr>
                <w:rFonts w:hint="eastAsia" w:ascii="宋体" w:hAnsi="宋体" w:cs="宋体"/>
                <w:sz w:val="24"/>
                <w:szCs w:val="24"/>
                <w:lang w:val="en-US" w:eastAsia="zh-CN"/>
              </w:rPr>
              <w:t>办公家具</w:t>
            </w:r>
            <w:r>
              <w:rPr>
                <w:rFonts w:hint="eastAsia" w:ascii="宋体" w:hAnsi="宋体" w:eastAsia="宋体" w:cs="宋体"/>
                <w:sz w:val="24"/>
                <w:szCs w:val="24"/>
                <w:lang w:val="en-US" w:eastAsia="zh-CN"/>
              </w:rPr>
              <w:t>的生产所涉及的能源采购、转换、输送及使用的相关能源管理活动</w:t>
            </w:r>
            <w:r>
              <w:rPr>
                <w:rFonts w:hint="eastAsia" w:ascii="宋体" w:hAnsi="宋体" w:cs="宋体"/>
                <w:sz w:val="24"/>
                <w:szCs w:val="24"/>
                <w:lang w:val="en-US" w:eastAsia="zh-CN"/>
              </w:rPr>
              <w:t>；</w:t>
            </w:r>
          </w:p>
          <w:p>
            <w:pPr>
              <w:numPr>
                <w:ilvl w:val="0"/>
                <w:numId w:val="0"/>
              </w:numPr>
              <w:ind w:left="0" w:leftChars="0" w:firstLine="0" w:firstLineChars="0"/>
              <w:rPr>
                <w:rFonts w:hint="default" w:ascii="宋体" w:hAnsi="宋体" w:eastAsia="宋体" w:cs="宋体"/>
                <w:color w:val="auto"/>
                <w:kern w:val="2"/>
                <w:sz w:val="24"/>
                <w:szCs w:val="24"/>
                <w:lang w:val="en-US" w:eastAsia="zh-CN" w:bidi="ar-SA"/>
              </w:rPr>
            </w:pPr>
            <w:r>
              <w:rPr>
                <w:rFonts w:hint="eastAsia" w:ascii="宋体" w:hAnsi="宋体" w:cs="宋体"/>
                <w:sz w:val="24"/>
                <w:szCs w:val="24"/>
                <w:lang w:val="en-US" w:eastAsia="zh-CN"/>
              </w:rPr>
              <w:t>查</w:t>
            </w:r>
            <w:r>
              <w:rPr>
                <w:rFonts w:hint="eastAsia" w:ascii="宋体" w:hAnsi="宋体" w:eastAsia="宋体" w:cs="宋体"/>
                <w:sz w:val="24"/>
                <w:szCs w:val="24"/>
                <w:lang w:val="en-US" w:eastAsia="zh-CN"/>
              </w:rPr>
              <w:t>组织</w:t>
            </w:r>
            <w:r>
              <w:rPr>
                <w:rFonts w:hint="eastAsia" w:ascii="宋体" w:hAnsi="宋体" w:cs="宋体"/>
                <w:sz w:val="24"/>
                <w:szCs w:val="24"/>
                <w:u w:val="single"/>
                <w:lang w:val="en-US" w:eastAsia="zh-CN"/>
              </w:rPr>
              <w:t>未</w:t>
            </w:r>
            <w:r>
              <w:rPr>
                <w:rFonts w:hint="eastAsia" w:ascii="宋体" w:hAnsi="宋体" w:eastAsia="宋体" w:cs="宋体"/>
                <w:sz w:val="24"/>
                <w:szCs w:val="24"/>
                <w:u w:val="single"/>
                <w:lang w:val="en-US" w:eastAsia="zh-CN"/>
              </w:rPr>
              <w:t>在</w:t>
            </w:r>
            <w:r>
              <w:rPr>
                <w:rFonts w:hint="eastAsia" w:ascii="宋体" w:hAnsi="宋体" w:cs="宋体"/>
                <w:sz w:val="24"/>
                <w:szCs w:val="24"/>
                <w:u w:val="single"/>
                <w:lang w:val="en-US" w:eastAsia="zh-CN"/>
              </w:rPr>
              <w:t>能源</w:t>
            </w:r>
            <w:r>
              <w:rPr>
                <w:rFonts w:hint="eastAsia" w:ascii="宋体" w:hAnsi="宋体" w:eastAsia="宋体" w:cs="宋体"/>
                <w:sz w:val="24"/>
                <w:szCs w:val="24"/>
                <w:u w:val="single"/>
                <w:lang w:val="en-US" w:eastAsia="zh-CN"/>
              </w:rPr>
              <w:t>范围</w:t>
            </w:r>
            <w:r>
              <w:rPr>
                <w:rFonts w:hint="eastAsia" w:ascii="宋体" w:hAnsi="宋体" w:eastAsia="宋体" w:cs="宋体"/>
                <w:sz w:val="24"/>
                <w:szCs w:val="24"/>
                <w:lang w:val="en-US" w:eastAsia="zh-CN"/>
              </w:rPr>
              <w:t>和边界内，</w:t>
            </w:r>
            <w:r>
              <w:rPr>
                <w:rFonts w:hint="eastAsia" w:ascii="宋体" w:hAnsi="宋体" w:eastAsia="宋体" w:cs="宋体"/>
                <w:sz w:val="24"/>
                <w:szCs w:val="24"/>
                <w:u w:val="single"/>
                <w:lang w:val="en-US" w:eastAsia="zh-CN"/>
              </w:rPr>
              <w:t>去除能源消耗</w:t>
            </w:r>
            <w:r>
              <w:rPr>
                <w:rFonts w:hint="eastAsia" w:ascii="宋体" w:hAnsi="宋体" w:eastAsia="宋体" w:cs="宋体"/>
                <w:sz w:val="24"/>
                <w:szCs w:val="24"/>
                <w:lang w:val="en-US" w:eastAsia="zh-CN"/>
              </w:rPr>
              <w:t>点。</w:t>
            </w:r>
          </w:p>
        </w:tc>
        <w:tc>
          <w:tcPr>
            <w:tcW w:w="724" w:type="dxa"/>
            <w:vAlign w:val="top"/>
          </w:tcPr>
          <w:p>
            <w:pPr>
              <w:rPr>
                <w:rFonts w:hint="eastAsia"/>
                <w:lang w:val="en-US" w:eastAsia="zh-CN"/>
              </w:rPr>
            </w:pPr>
          </w:p>
          <w:p>
            <w:pPr>
              <w:pStyle w:val="2"/>
              <w:rPr>
                <w:rFonts w:hint="eastAsia" w:ascii="宋体" w:hAnsi="宋体" w:eastAsia="宋体" w:cs="宋体"/>
                <w:kern w:val="2"/>
                <w:sz w:val="24"/>
                <w:szCs w:val="24"/>
                <w:lang w:val="en-US" w:eastAsia="zh-CN" w:bidi="ar-SA"/>
              </w:rPr>
            </w:pPr>
          </w:p>
          <w:p>
            <w:pPr>
              <w:pStyle w:val="2"/>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ascii="Times New Roman" w:hAnsi="Times New Roman" w:eastAsia="宋体" w:cs="Times New Roman"/>
                <w:kern w:val="2"/>
                <w:sz w:val="21"/>
                <w:lang w:val="en-US" w:eastAsia="zh-CN" w:bidi="ar-SA"/>
              </w:rPr>
            </w:pPr>
            <w:r>
              <w:rPr>
                <w:rFonts w:hint="eastAsia" w:ascii="宋体" w:hAnsi="宋体" w:eastAsia="宋体" w:cs="宋体"/>
                <w:sz w:val="24"/>
                <w:szCs w:val="24"/>
              </w:rPr>
              <w:t>能源管理体系</w:t>
            </w:r>
          </w:p>
        </w:tc>
        <w:tc>
          <w:tcPr>
            <w:tcW w:w="0" w:type="auto"/>
            <w:vAlign w:val="top"/>
          </w:tcPr>
          <w:p>
            <w:pPr>
              <w:rPr>
                <w:rFonts w:hint="eastAsia" w:ascii="宋体" w:hAnsi="宋体" w:eastAsia="宋体" w:cs="宋体"/>
                <w:sz w:val="24"/>
                <w:szCs w:val="24"/>
              </w:rPr>
            </w:pPr>
            <w:r>
              <w:rPr>
                <w:rFonts w:hint="eastAsia" w:ascii="宋体" w:hAnsi="宋体" w:eastAsia="宋体" w:cs="宋体"/>
                <w:sz w:val="24"/>
                <w:szCs w:val="24"/>
              </w:rPr>
              <w:t>4.4</w:t>
            </w:r>
          </w:p>
          <w:p>
            <w:pPr>
              <w:rPr>
                <w:rFonts w:ascii="Times New Roman" w:hAnsi="Times New Roman" w:eastAsia="宋体" w:cs="Times New Roman"/>
                <w:kern w:val="2"/>
                <w:sz w:val="21"/>
                <w:lang w:val="en-US" w:eastAsia="zh-CN" w:bidi="ar-SA"/>
              </w:rPr>
            </w:pPr>
          </w:p>
        </w:tc>
        <w:tc>
          <w:tcPr>
            <w:tcW w:w="10865" w:type="dxa"/>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u w:val="single"/>
                <w:lang w:val="en-US" w:eastAsia="zh-CN"/>
              </w:rPr>
              <w:t>查组织基本做到</w:t>
            </w:r>
            <w:r>
              <w:rPr>
                <w:rFonts w:hint="eastAsia" w:ascii="宋体" w:hAnsi="宋体" w:eastAsia="宋体" w:cs="宋体"/>
                <w:sz w:val="24"/>
                <w:szCs w:val="24"/>
                <w:lang w:val="en-US" w:eastAsia="zh-CN"/>
              </w:rPr>
              <w:t>了：</w:t>
            </w:r>
          </w:p>
          <w:p>
            <w:pPr>
              <w:rPr>
                <w:rFonts w:hint="eastAsia" w:ascii="宋体" w:hAnsi="宋体" w:eastAsia="宋体" w:cs="宋体"/>
                <w:sz w:val="24"/>
                <w:szCs w:val="24"/>
              </w:rPr>
            </w:pPr>
            <w:r>
              <w:rPr>
                <w:rFonts w:hint="eastAsia" w:ascii="宋体" w:hAnsi="宋体" w:eastAsia="宋体" w:cs="宋体"/>
                <w:sz w:val="24"/>
                <w:szCs w:val="24"/>
              </w:rPr>
              <w:t>按</w:t>
            </w:r>
            <w:r>
              <w:rPr>
                <w:rFonts w:hint="eastAsia" w:ascii="宋体" w:hAnsi="宋体" w:cs="宋体"/>
                <w:sz w:val="24"/>
                <w:szCs w:val="24"/>
                <w:lang w:val="en-US" w:eastAsia="zh-CN"/>
              </w:rPr>
              <w:t>ISO</w:t>
            </w:r>
            <w:r>
              <w:rPr>
                <w:rFonts w:hint="eastAsia" w:ascii="宋体" w:hAnsi="宋体" w:eastAsia="宋体" w:cs="宋体"/>
                <w:sz w:val="24"/>
                <w:szCs w:val="24"/>
                <w:lang w:val="en-US" w:eastAsia="zh-CN"/>
              </w:rPr>
              <w:t>50001</w:t>
            </w:r>
            <w:r>
              <w:rPr>
                <w:rFonts w:hint="eastAsia" w:ascii="宋体" w:hAnsi="宋体" w:cs="宋体"/>
                <w:sz w:val="24"/>
                <w:szCs w:val="24"/>
                <w:lang w:val="en-US" w:eastAsia="zh-CN"/>
              </w:rPr>
              <w:t>：</w:t>
            </w:r>
            <w:r>
              <w:rPr>
                <w:rFonts w:hint="eastAsia" w:ascii="宋体" w:hAnsi="宋体" w:eastAsia="宋体" w:cs="宋体"/>
                <w:sz w:val="24"/>
                <w:szCs w:val="24"/>
              </w:rPr>
              <w:t>201</w:t>
            </w:r>
            <w:r>
              <w:rPr>
                <w:rFonts w:hint="eastAsia" w:ascii="宋体" w:hAnsi="宋体" w:eastAsia="宋体" w:cs="宋体"/>
                <w:sz w:val="24"/>
                <w:szCs w:val="24"/>
                <w:lang w:val="en-US" w:eastAsia="zh-CN"/>
              </w:rPr>
              <w:t>8</w:t>
            </w:r>
            <w:r>
              <w:rPr>
                <w:rFonts w:hint="eastAsia" w:ascii="宋体" w:hAnsi="宋体" w:eastAsia="宋体" w:cs="宋体"/>
                <w:sz w:val="24"/>
                <w:szCs w:val="24"/>
              </w:rPr>
              <w:t>《能源管理体系 要求》的要求，结合本公司的生产经营活动、产品和服务的实际建立能源管理体系，形成文件，实施、保持和持续改进能源管理。</w:t>
            </w:r>
          </w:p>
          <w:p>
            <w:pPr>
              <w:rPr>
                <w:rFonts w:hint="eastAsia" w:ascii="宋体" w:hAnsi="宋体" w:eastAsia="宋体" w:cs="宋体"/>
                <w:sz w:val="24"/>
                <w:szCs w:val="24"/>
              </w:rPr>
            </w:pPr>
            <w:r>
              <w:rPr>
                <w:rFonts w:hint="eastAsia" w:ascii="宋体" w:hAnsi="宋体" w:eastAsia="宋体" w:cs="宋体"/>
                <w:sz w:val="24"/>
                <w:szCs w:val="24"/>
              </w:rPr>
              <w:t>识别</w:t>
            </w:r>
            <w:r>
              <w:rPr>
                <w:rFonts w:hint="eastAsia" w:ascii="宋体" w:hAnsi="宋体" w:eastAsia="宋体" w:cs="宋体"/>
                <w:sz w:val="24"/>
                <w:szCs w:val="24"/>
                <w:lang w:val="en-US" w:eastAsia="zh-CN"/>
              </w:rPr>
              <w:t>了</w:t>
            </w:r>
            <w:r>
              <w:rPr>
                <w:rFonts w:hint="eastAsia" w:ascii="宋体" w:hAnsi="宋体" w:eastAsia="宋体" w:cs="宋体"/>
                <w:sz w:val="24"/>
                <w:szCs w:val="24"/>
              </w:rPr>
              <w:t>产品、活动和服务中能够控制或可施加影响的能源使用，确定优先控制的重要能源使用；确定本公司适用的法律法规和其他要求；建立适当的能源目标、指标和能源管理方案；</w:t>
            </w:r>
          </w:p>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开展策划、控制、监测、纠正、审核与评审活动，以确保对能源方针的遵守和能源管理体系的持续适应性。</w:t>
            </w:r>
          </w:p>
        </w:tc>
        <w:tc>
          <w:tcPr>
            <w:tcW w:w="724" w:type="dxa"/>
            <w:vAlign w:val="top"/>
          </w:tcPr>
          <w:p>
            <w:pPr>
              <w:rPr>
                <w:rFonts w:hint="eastAsia"/>
                <w:lang w:val="en-US" w:eastAsia="zh-CN"/>
              </w:rPr>
            </w:pPr>
          </w:p>
          <w:p>
            <w:pPr>
              <w:pStyle w:val="2"/>
              <w:rPr>
                <w:rFonts w:hint="eastAsia" w:ascii="宋体" w:hAnsi="宋体" w:eastAsia="宋体" w:cs="宋体"/>
                <w:kern w:val="2"/>
                <w:sz w:val="24"/>
                <w:szCs w:val="24"/>
                <w:lang w:val="en-US" w:eastAsia="zh-CN" w:bidi="ar-SA"/>
              </w:rPr>
            </w:pPr>
          </w:p>
          <w:p>
            <w:pPr>
              <w:pStyle w:val="2"/>
              <w:rPr>
                <w:rFonts w:hint="eastAsia" w:ascii="宋体" w:hAnsi="宋体" w:eastAsia="宋体" w:cs="宋体"/>
                <w:kern w:val="2"/>
                <w:sz w:val="24"/>
                <w:szCs w:val="24"/>
                <w:lang w:val="en-US" w:eastAsia="zh-CN" w:bidi="ar-SA"/>
              </w:rPr>
            </w:pPr>
          </w:p>
          <w:p>
            <w:pPr>
              <w:pStyle w:val="2"/>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ascii="Times New Roman" w:hAnsi="Times New Roman" w:eastAsia="宋体" w:cs="Times New Roman"/>
                <w:kern w:val="2"/>
                <w:sz w:val="21"/>
                <w:lang w:val="en-US" w:eastAsia="zh-CN" w:bidi="ar-SA"/>
              </w:rPr>
            </w:pPr>
            <w:r>
              <w:rPr>
                <w:rFonts w:hint="eastAsia" w:ascii="宋体" w:hAnsi="宋体" w:eastAsia="宋体" w:cs="宋体"/>
                <w:sz w:val="24"/>
                <w:szCs w:val="24"/>
              </w:rPr>
              <w:t>领导作用与承诺</w:t>
            </w:r>
          </w:p>
        </w:tc>
        <w:tc>
          <w:tcPr>
            <w:tcW w:w="0" w:type="auto"/>
            <w:vAlign w:val="top"/>
          </w:tcPr>
          <w:p>
            <w:pPr>
              <w:rPr>
                <w:rFonts w:hint="eastAsia" w:ascii="宋体" w:hAnsi="宋体" w:eastAsia="宋体" w:cs="宋体"/>
                <w:sz w:val="24"/>
                <w:szCs w:val="24"/>
              </w:rPr>
            </w:pPr>
            <w:r>
              <w:rPr>
                <w:rFonts w:hint="eastAsia" w:ascii="宋体" w:hAnsi="宋体" w:eastAsia="宋体" w:cs="宋体"/>
                <w:sz w:val="24"/>
                <w:szCs w:val="24"/>
              </w:rPr>
              <w:t xml:space="preserve">5.1 </w:t>
            </w:r>
          </w:p>
          <w:p>
            <w:pPr>
              <w:rPr>
                <w:rFonts w:hint="default" w:ascii="宋体" w:hAnsi="宋体" w:eastAsia="宋体" w:cs="宋体"/>
                <w:color w:val="auto"/>
                <w:kern w:val="2"/>
                <w:sz w:val="24"/>
                <w:szCs w:val="24"/>
                <w:lang w:val="en-US" w:eastAsia="zh-CN" w:bidi="ar-SA"/>
              </w:rPr>
            </w:pPr>
          </w:p>
        </w:tc>
        <w:tc>
          <w:tcPr>
            <w:tcW w:w="10865" w:type="dxa"/>
            <w:vAlign w:val="center"/>
          </w:tcPr>
          <w:p>
            <w:pPr>
              <w:rPr>
                <w:rFonts w:hint="eastAsia" w:ascii="宋体" w:hAnsi="宋体" w:eastAsia="宋体" w:cs="宋体"/>
                <w:sz w:val="24"/>
                <w:szCs w:val="24"/>
                <w:lang w:val="en-US" w:eastAsia="zh-CN"/>
              </w:rPr>
            </w:pPr>
            <w:r>
              <w:rPr>
                <w:rFonts w:hint="eastAsia" w:ascii="宋体" w:hAnsi="宋体" w:cs="宋体"/>
                <w:sz w:val="24"/>
                <w:szCs w:val="24"/>
                <w:lang w:val="en-US" w:eastAsia="zh-CN"/>
              </w:rPr>
              <w:t>通过</w:t>
            </w:r>
            <w:r>
              <w:rPr>
                <w:rFonts w:hint="eastAsia" w:ascii="宋体" w:hAnsi="宋体" w:eastAsia="宋体" w:cs="宋体"/>
                <w:sz w:val="24"/>
                <w:szCs w:val="24"/>
                <w:lang w:val="en-US" w:eastAsia="zh-CN"/>
              </w:rPr>
              <w:t>交流</w:t>
            </w:r>
            <w:r>
              <w:rPr>
                <w:rFonts w:hint="eastAsia" w:ascii="宋体" w:hAnsi="宋体" w:cs="宋体"/>
                <w:sz w:val="24"/>
                <w:szCs w:val="24"/>
                <w:lang w:val="en-US" w:eastAsia="zh-CN"/>
              </w:rPr>
              <w:t>可知最高管理者已经</w:t>
            </w:r>
            <w:r>
              <w:rPr>
                <w:rFonts w:hint="eastAsia" w:ascii="宋体" w:hAnsi="宋体" w:eastAsia="宋体" w:cs="宋体"/>
                <w:sz w:val="24"/>
                <w:szCs w:val="24"/>
                <w:lang w:val="en-US" w:eastAsia="zh-CN"/>
              </w:rPr>
              <w:t>：</w:t>
            </w:r>
          </w:p>
          <w:p>
            <w:pPr>
              <w:rPr>
                <w:rFonts w:hint="eastAsia" w:ascii="宋体" w:hAnsi="宋体" w:eastAsia="宋体" w:cs="宋体"/>
                <w:sz w:val="24"/>
                <w:szCs w:val="24"/>
                <w:lang w:eastAsia="zh-CN"/>
              </w:rPr>
            </w:pPr>
            <w:r>
              <w:rPr>
                <w:rFonts w:hint="eastAsia" w:ascii="宋体" w:hAnsi="宋体" w:eastAsia="宋体" w:cs="宋体"/>
                <w:sz w:val="24"/>
                <w:szCs w:val="24"/>
              </w:rPr>
              <w:t>a）</w:t>
            </w:r>
            <w:r>
              <w:rPr>
                <w:rFonts w:hint="eastAsia" w:ascii="宋体" w:hAnsi="宋体" w:eastAsia="宋体" w:cs="宋体"/>
                <w:sz w:val="24"/>
                <w:szCs w:val="24"/>
              </w:rPr>
              <w:tab/>
            </w:r>
            <w:r>
              <w:rPr>
                <w:rFonts w:hint="eastAsia" w:ascii="宋体" w:hAnsi="宋体" w:eastAsia="宋体" w:cs="宋体"/>
                <w:sz w:val="24"/>
                <w:szCs w:val="24"/>
              </w:rPr>
              <w:t>确保建立EnMS范围和边界</w:t>
            </w:r>
            <w:r>
              <w:rPr>
                <w:rFonts w:hint="eastAsia" w:ascii="宋体" w:hAnsi="宋体" w:cs="宋体"/>
                <w:sz w:val="24"/>
                <w:szCs w:val="24"/>
                <w:lang w:eastAsia="zh-CN"/>
              </w:rPr>
              <w:t>；</w:t>
            </w:r>
          </w:p>
          <w:p>
            <w:pPr>
              <w:rPr>
                <w:rFonts w:hint="eastAsia" w:ascii="宋体" w:hAnsi="宋体" w:eastAsia="宋体" w:cs="宋体"/>
                <w:sz w:val="24"/>
                <w:szCs w:val="24"/>
              </w:rPr>
            </w:pPr>
            <w:r>
              <w:rPr>
                <w:rFonts w:hint="eastAsia" w:ascii="宋体" w:hAnsi="宋体" w:eastAsia="宋体" w:cs="宋体"/>
                <w:sz w:val="24"/>
                <w:szCs w:val="24"/>
              </w:rPr>
              <w:t>b）</w:t>
            </w:r>
            <w:r>
              <w:rPr>
                <w:rFonts w:hint="eastAsia" w:ascii="宋体" w:hAnsi="宋体" w:eastAsia="宋体" w:cs="宋体"/>
                <w:sz w:val="24"/>
                <w:szCs w:val="24"/>
              </w:rPr>
              <w:tab/>
            </w:r>
            <w:r>
              <w:rPr>
                <w:rFonts w:hint="eastAsia" w:ascii="宋体" w:hAnsi="宋体" w:eastAsia="宋体" w:cs="宋体"/>
                <w:sz w:val="24"/>
                <w:szCs w:val="24"/>
              </w:rPr>
              <w:t>确保建立能源方针、目标和能源指标，并确保与其组织的战略方向相一致；</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right="0" w:rightChars="0"/>
              <w:jc w:val="left"/>
              <w:textAlignment w:val="auto"/>
              <w:outlineLvl w:val="9"/>
              <w:rPr>
                <w:rFonts w:hint="eastAsia" w:ascii="宋体" w:hAnsi="宋体" w:cs="宋体"/>
                <w:sz w:val="24"/>
                <w:szCs w:val="24"/>
                <w:lang w:eastAsia="zh-CN"/>
              </w:rPr>
            </w:pPr>
            <w:r>
              <w:rPr>
                <w:rFonts w:hint="eastAsia" w:ascii="宋体" w:hAnsi="宋体" w:eastAsia="宋体" w:cs="宋体"/>
                <w:sz w:val="24"/>
                <w:szCs w:val="24"/>
              </w:rPr>
              <w:t>c）</w:t>
            </w:r>
            <w:r>
              <w:rPr>
                <w:rFonts w:hint="eastAsia" w:ascii="宋体" w:hAnsi="宋体" w:eastAsia="宋体" w:cs="宋体"/>
                <w:sz w:val="24"/>
                <w:szCs w:val="24"/>
              </w:rPr>
              <w:tab/>
            </w:r>
            <w:r>
              <w:rPr>
                <w:rFonts w:hint="eastAsia" w:ascii="宋体" w:hAnsi="宋体" w:eastAsia="宋体" w:cs="宋体"/>
                <w:sz w:val="24"/>
                <w:szCs w:val="24"/>
              </w:rPr>
              <w:t>确保将能源管理体系要求融入到组织的业务流程中</w:t>
            </w:r>
            <w:r>
              <w:rPr>
                <w:rFonts w:hint="eastAsia" w:ascii="宋体" w:hAnsi="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right="0" w:rightChars="0"/>
              <w:jc w:val="left"/>
              <w:textAlignment w:val="auto"/>
              <w:outlineLvl w:val="9"/>
              <w:rPr>
                <w:rFonts w:hint="eastAsia" w:ascii="宋体" w:hAnsi="宋体" w:eastAsia="宋体" w:cs="宋体"/>
                <w:sz w:val="24"/>
                <w:szCs w:val="24"/>
                <w:lang w:eastAsia="zh-CN"/>
              </w:rPr>
            </w:pPr>
            <w:r>
              <w:rPr>
                <w:rFonts w:hint="eastAsia" w:ascii="宋体" w:hAnsi="宋体" w:cs="宋体"/>
                <w:b w:val="0"/>
                <w:bCs w:val="0"/>
                <w:color w:val="auto"/>
                <w:sz w:val="24"/>
                <w:szCs w:val="24"/>
                <w:lang w:val="en-US" w:eastAsia="zh-CN"/>
              </w:rPr>
              <w:t>包括</w:t>
            </w:r>
            <w:r>
              <w:rPr>
                <w:rFonts w:hint="eastAsia" w:ascii="宋体" w:hAnsi="宋体" w:eastAsia="宋体" w:cs="宋体"/>
                <w:b w:val="0"/>
                <w:bCs w:val="0"/>
                <w:color w:val="auto"/>
                <w:sz w:val="24"/>
                <w:szCs w:val="24"/>
                <w:lang w:val="en-US" w:eastAsia="zh-CN"/>
              </w:rPr>
              <w:t>确保</w:t>
            </w:r>
            <w:r>
              <w:rPr>
                <w:rFonts w:hint="eastAsia" w:ascii="宋体" w:hAnsi="宋体" w:cs="宋体"/>
                <w:b w:val="0"/>
                <w:bCs w:val="0"/>
                <w:color w:val="auto"/>
                <w:sz w:val="24"/>
                <w:szCs w:val="24"/>
                <w:lang w:val="en-US" w:eastAsia="zh-CN"/>
              </w:rPr>
              <w:t>能源</w:t>
            </w:r>
            <w:r>
              <w:rPr>
                <w:rFonts w:hint="eastAsia" w:ascii="宋体" w:hAnsi="宋体" w:eastAsia="宋体" w:cs="宋体"/>
                <w:b w:val="0"/>
                <w:bCs w:val="0"/>
                <w:color w:val="auto"/>
                <w:sz w:val="24"/>
                <w:szCs w:val="24"/>
                <w:lang w:val="en-US" w:eastAsia="zh-CN"/>
              </w:rPr>
              <w:t xml:space="preserve">管理体系和本组织的相关职能部门及过程的接口和融入、这包括设计开发、生产及仓储物流、原材料的采购、过程的监视和测量等均按照标准要求制定了让相关的程序文件和作业指导书、提供了过程的监视和质量目标的监视、完成了内审和管评的过程等； </w:t>
            </w:r>
          </w:p>
          <w:p>
            <w:pPr>
              <w:rPr>
                <w:rFonts w:hint="eastAsia" w:ascii="宋体" w:hAnsi="宋体" w:cs="宋体"/>
                <w:sz w:val="24"/>
                <w:szCs w:val="24"/>
                <w:lang w:eastAsia="zh-CN"/>
              </w:rPr>
            </w:pPr>
            <w:r>
              <w:rPr>
                <w:rFonts w:hint="eastAsia" w:ascii="宋体" w:hAnsi="宋体" w:eastAsia="宋体" w:cs="宋体"/>
                <w:sz w:val="24"/>
                <w:szCs w:val="24"/>
              </w:rPr>
              <w:t>d）</w:t>
            </w:r>
            <w:r>
              <w:rPr>
                <w:rFonts w:hint="eastAsia" w:ascii="宋体" w:hAnsi="宋体" w:eastAsia="宋体" w:cs="宋体"/>
                <w:sz w:val="24"/>
                <w:szCs w:val="24"/>
              </w:rPr>
              <w:tab/>
            </w:r>
            <w:r>
              <w:rPr>
                <w:rFonts w:hint="eastAsia" w:ascii="宋体" w:hAnsi="宋体" w:eastAsia="宋体" w:cs="宋体"/>
                <w:sz w:val="24"/>
                <w:szCs w:val="24"/>
              </w:rPr>
              <w:t>确保策划方案得到批准和实施</w:t>
            </w:r>
            <w:r>
              <w:rPr>
                <w:rFonts w:hint="eastAsia" w:ascii="宋体" w:hAnsi="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right="0" w:rightChars="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e）</w:t>
            </w:r>
            <w:r>
              <w:rPr>
                <w:rFonts w:hint="eastAsia" w:ascii="宋体" w:hAnsi="宋体" w:eastAsia="宋体" w:cs="宋体"/>
                <w:sz w:val="24"/>
                <w:szCs w:val="24"/>
              </w:rPr>
              <w:tab/>
            </w:r>
            <w:r>
              <w:rPr>
                <w:rFonts w:hint="eastAsia" w:ascii="宋体" w:hAnsi="宋体" w:eastAsia="宋体" w:cs="宋体"/>
                <w:sz w:val="24"/>
                <w:szCs w:val="24"/>
              </w:rPr>
              <w:t>确保可获得EnMS所需的资源</w:t>
            </w:r>
            <w:r>
              <w:rPr>
                <w:rFonts w:hint="eastAsia" w:ascii="宋体" w:hAnsi="宋体" w:cs="宋体"/>
                <w:sz w:val="24"/>
                <w:szCs w:val="24"/>
                <w:lang w:eastAsia="zh-CN"/>
              </w:rPr>
              <w:t>；</w:t>
            </w:r>
            <w:r>
              <w:rPr>
                <w:rFonts w:hint="eastAsia" w:ascii="宋体" w:hAnsi="宋体" w:eastAsia="宋体" w:cs="宋体"/>
                <w:b w:val="0"/>
                <w:bCs w:val="0"/>
                <w:color w:val="auto"/>
                <w:sz w:val="24"/>
                <w:szCs w:val="24"/>
                <w:lang w:val="en-US" w:eastAsia="zh-CN"/>
              </w:rPr>
              <w:t>组织明确了体系要求的在人力物力财力方面的需求，及那些受到约束的条件并形成文件信息予以保留；</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sz w:val="24"/>
                <w:szCs w:val="24"/>
              </w:rPr>
              <w:t>f）就有效能源管理的重要性和符合能源管理体系要求的重要性进行沟通；</w:t>
            </w:r>
            <w:r>
              <w:rPr>
                <w:rFonts w:hint="eastAsia" w:ascii="宋体" w:hAnsi="宋体" w:eastAsia="宋体" w:cs="宋体"/>
                <w:b w:val="0"/>
                <w:bCs w:val="0"/>
                <w:color w:val="auto"/>
                <w:sz w:val="24"/>
                <w:szCs w:val="24"/>
                <w:lang w:val="en-US" w:eastAsia="zh-CN"/>
              </w:rPr>
              <w:t>通过内部会议、邮件、讨论等形式获取有价值的沟通等；</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right="0" w:rightChars="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g）确保能源管理体系实现其预期的结果</w:t>
            </w:r>
            <w:r>
              <w:rPr>
                <w:rFonts w:hint="eastAsia" w:ascii="宋体" w:hAnsi="宋体" w:cs="宋体"/>
                <w:sz w:val="24"/>
                <w:szCs w:val="24"/>
                <w:lang w:eastAsia="zh-CN"/>
              </w:rPr>
              <w:t>；</w:t>
            </w:r>
            <w:r>
              <w:rPr>
                <w:rFonts w:hint="eastAsia" w:ascii="宋体" w:hAnsi="宋体" w:eastAsia="宋体" w:cs="宋体"/>
                <w:b w:val="0"/>
                <w:bCs w:val="0"/>
                <w:color w:val="auto"/>
                <w:sz w:val="24"/>
                <w:szCs w:val="24"/>
                <w:lang w:val="en-US" w:eastAsia="zh-CN"/>
              </w:rPr>
              <w:t>监视质量管理体系的输出、确保纠正措施落实到个人或团队；</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right="0" w:right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h）促进能源管理体系和能源绩效的持续改进；</w:t>
            </w:r>
            <w:r>
              <w:rPr>
                <w:rFonts w:hint="eastAsia" w:ascii="宋体" w:hAnsi="宋体" w:eastAsia="宋体" w:cs="宋体"/>
                <w:b w:val="0"/>
                <w:bCs w:val="0"/>
                <w:color w:val="auto"/>
                <w:sz w:val="24"/>
                <w:szCs w:val="24"/>
                <w:lang w:val="en-US" w:eastAsia="zh-CN"/>
              </w:rPr>
              <w:t>内审、管评、第三方审核等提出的一家和建议在内部沟通；</w:t>
            </w:r>
          </w:p>
          <w:p>
            <w:pPr>
              <w:rPr>
                <w:rFonts w:hint="eastAsia" w:ascii="宋体" w:hAnsi="宋体" w:eastAsia="宋体" w:cs="宋体"/>
                <w:sz w:val="24"/>
                <w:szCs w:val="24"/>
                <w:lang w:eastAsia="zh-CN"/>
              </w:rPr>
            </w:pPr>
            <w:r>
              <w:rPr>
                <w:rFonts w:hint="eastAsia" w:ascii="宋体" w:hAnsi="宋体" w:eastAsia="宋体" w:cs="宋体"/>
                <w:sz w:val="24"/>
                <w:szCs w:val="24"/>
              </w:rPr>
              <w:t>i）确保组建能源管理团队</w:t>
            </w:r>
            <w:r>
              <w:rPr>
                <w:rFonts w:hint="eastAsia" w:ascii="宋体" w:hAnsi="宋体" w:cs="宋体"/>
                <w:sz w:val="24"/>
                <w:szCs w:val="24"/>
                <w:lang w:eastAsia="zh-CN"/>
              </w:rPr>
              <w:t>；</w:t>
            </w:r>
          </w:p>
          <w:p>
            <w:pPr>
              <w:rPr>
                <w:rFonts w:hint="eastAsia" w:ascii="宋体" w:hAnsi="宋体" w:eastAsia="宋体" w:cs="宋体"/>
                <w:sz w:val="24"/>
                <w:szCs w:val="24"/>
                <w:lang w:eastAsia="zh-CN"/>
              </w:rPr>
            </w:pPr>
            <w:r>
              <w:rPr>
                <w:rFonts w:hint="eastAsia" w:ascii="宋体" w:hAnsi="宋体" w:eastAsia="宋体" w:cs="宋体"/>
                <w:sz w:val="24"/>
                <w:szCs w:val="24"/>
              </w:rPr>
              <w:t>j）指导并支持员工对能源管理体系的有效性和能源绩效改进作出贡献</w:t>
            </w:r>
            <w:r>
              <w:rPr>
                <w:rFonts w:hint="eastAsia" w:ascii="宋体" w:hAnsi="宋体" w:cs="宋体"/>
                <w:sz w:val="24"/>
                <w:szCs w:val="24"/>
                <w:lang w:eastAsia="zh-CN"/>
              </w:rPr>
              <w:t>；</w:t>
            </w:r>
          </w:p>
          <w:p>
            <w:pPr>
              <w:rPr>
                <w:rFonts w:hint="eastAsia" w:ascii="宋体" w:hAnsi="宋体" w:eastAsia="宋体" w:cs="宋体"/>
                <w:sz w:val="24"/>
                <w:szCs w:val="24"/>
                <w:lang w:eastAsia="zh-CN"/>
              </w:rPr>
            </w:pPr>
            <w:r>
              <w:rPr>
                <w:rFonts w:hint="eastAsia" w:ascii="宋体" w:hAnsi="宋体" w:eastAsia="宋体" w:cs="宋体"/>
                <w:sz w:val="24"/>
                <w:szCs w:val="24"/>
              </w:rPr>
              <w:t>k）支持其他相关的管理人员在其职责范围内执行其领导作用</w:t>
            </w:r>
            <w:r>
              <w:rPr>
                <w:rFonts w:hint="eastAsia" w:ascii="宋体" w:hAnsi="宋体" w:cs="宋体"/>
                <w:sz w:val="24"/>
                <w:szCs w:val="24"/>
                <w:lang w:eastAsia="zh-CN"/>
              </w:rPr>
              <w:t>；</w:t>
            </w:r>
          </w:p>
          <w:p>
            <w:pPr>
              <w:rPr>
                <w:rFonts w:hint="eastAsia" w:ascii="宋体" w:hAnsi="宋体" w:eastAsia="宋体" w:cs="宋体"/>
                <w:sz w:val="24"/>
                <w:szCs w:val="24"/>
                <w:lang w:eastAsia="zh-CN"/>
              </w:rPr>
            </w:pPr>
            <w:r>
              <w:rPr>
                <w:rFonts w:hint="eastAsia" w:ascii="宋体" w:hAnsi="宋体" w:eastAsia="宋体" w:cs="宋体"/>
                <w:sz w:val="24"/>
                <w:szCs w:val="24"/>
              </w:rPr>
              <w:t>l）确保EnPI（s）恰当地表示能源性能</w:t>
            </w:r>
            <w:r>
              <w:rPr>
                <w:rFonts w:hint="eastAsia" w:ascii="宋体" w:hAnsi="宋体" w:cs="宋体"/>
                <w:sz w:val="24"/>
                <w:szCs w:val="24"/>
                <w:lang w:eastAsia="zh-CN"/>
              </w:rPr>
              <w:t>；</w:t>
            </w:r>
          </w:p>
          <w:p>
            <w:pPr>
              <w:rPr>
                <w:rFonts w:hint="eastAsia" w:ascii="宋体" w:hAnsi="宋体" w:eastAsia="宋体" w:cs="宋体"/>
                <w:sz w:val="24"/>
                <w:szCs w:val="24"/>
              </w:rPr>
            </w:pPr>
            <w:r>
              <w:rPr>
                <w:rFonts w:hint="eastAsia" w:ascii="宋体" w:hAnsi="宋体" w:eastAsia="宋体" w:cs="宋体"/>
                <w:sz w:val="24"/>
                <w:szCs w:val="24"/>
              </w:rPr>
              <w:t>m）确保建立和实施流程，以识别和确定在能源管理体系范围和边界内能源管理体系和能源绩效的变化影响。</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default" w:ascii="宋体" w:hAnsi="宋体" w:eastAsia="宋体" w:cs="宋体"/>
                <w:color w:val="auto"/>
                <w:kern w:val="2"/>
                <w:sz w:val="24"/>
                <w:szCs w:val="24"/>
                <w:lang w:val="en-US" w:eastAsia="zh-CN" w:bidi="ar-SA"/>
              </w:rPr>
            </w:pP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现场审核管理层的行为、态度和决定之间基本一致，日常的态度严谨认真、可以做到以身作则、及和部属的有效沟通；另查书面的承诺及质量管理体系的绩效结果等基本符合规定；</w:t>
            </w:r>
          </w:p>
        </w:tc>
        <w:tc>
          <w:tcPr>
            <w:tcW w:w="724" w:type="dxa"/>
            <w:vAlign w:val="top"/>
          </w:tcPr>
          <w:p>
            <w:pPr>
              <w:rPr>
                <w:rFonts w:hint="eastAsia"/>
                <w:lang w:val="en-US" w:eastAsia="zh-CN"/>
              </w:rPr>
            </w:pPr>
          </w:p>
          <w:p>
            <w:pPr>
              <w:pStyle w:val="2"/>
              <w:rPr>
                <w:rFonts w:hint="eastAsia" w:ascii="宋体" w:hAnsi="宋体" w:eastAsia="宋体" w:cs="宋体"/>
                <w:kern w:val="2"/>
                <w:sz w:val="24"/>
                <w:szCs w:val="24"/>
                <w:lang w:val="en-US" w:eastAsia="zh-CN" w:bidi="ar-SA"/>
              </w:rPr>
            </w:pPr>
          </w:p>
          <w:p>
            <w:pPr>
              <w:pStyle w:val="2"/>
              <w:rPr>
                <w:rFonts w:hint="eastAsia" w:ascii="宋体" w:hAnsi="宋体" w:eastAsia="宋体" w:cs="宋体"/>
                <w:kern w:val="2"/>
                <w:sz w:val="24"/>
                <w:szCs w:val="24"/>
                <w:lang w:val="en-US" w:eastAsia="zh-CN" w:bidi="ar-SA"/>
              </w:rPr>
            </w:pPr>
          </w:p>
          <w:p>
            <w:pPr>
              <w:pStyle w:val="2"/>
              <w:rPr>
                <w:rFonts w:hint="eastAsia" w:ascii="宋体" w:hAnsi="宋体" w:eastAsia="宋体" w:cs="宋体"/>
                <w:kern w:val="2"/>
                <w:sz w:val="24"/>
                <w:szCs w:val="24"/>
                <w:lang w:val="en-US" w:eastAsia="zh-CN" w:bidi="ar-SA"/>
              </w:rPr>
            </w:pPr>
          </w:p>
          <w:p>
            <w:pPr>
              <w:pStyle w:val="2"/>
              <w:rPr>
                <w:rFonts w:hint="eastAsia" w:ascii="宋体" w:hAnsi="宋体" w:eastAsia="宋体" w:cs="宋体"/>
                <w:kern w:val="2"/>
                <w:sz w:val="24"/>
                <w:szCs w:val="24"/>
                <w:lang w:val="en-US" w:eastAsia="zh-CN" w:bidi="ar-SA"/>
              </w:rPr>
            </w:pPr>
          </w:p>
          <w:p>
            <w:pPr>
              <w:pStyle w:val="2"/>
              <w:rPr>
                <w:rFonts w:hint="eastAsia" w:ascii="宋体" w:hAnsi="宋体" w:eastAsia="宋体" w:cs="宋体"/>
                <w:kern w:val="2"/>
                <w:sz w:val="24"/>
                <w:szCs w:val="24"/>
                <w:lang w:val="en-US" w:eastAsia="zh-CN" w:bidi="ar-SA"/>
              </w:rPr>
            </w:pPr>
          </w:p>
          <w:p>
            <w:pPr>
              <w:pStyle w:val="2"/>
              <w:rPr>
                <w:rFonts w:hint="eastAsia" w:ascii="宋体" w:hAnsi="宋体" w:eastAsia="宋体" w:cs="宋体"/>
                <w:kern w:val="2"/>
                <w:sz w:val="24"/>
                <w:szCs w:val="24"/>
                <w:lang w:val="en-US" w:eastAsia="zh-CN" w:bidi="ar-SA"/>
              </w:rPr>
            </w:pPr>
          </w:p>
          <w:p>
            <w:pPr>
              <w:pStyle w:val="2"/>
              <w:rPr>
                <w:rFonts w:hint="eastAsia" w:ascii="宋体" w:hAnsi="宋体" w:eastAsia="宋体" w:cs="宋体"/>
                <w:kern w:val="2"/>
                <w:sz w:val="24"/>
                <w:szCs w:val="24"/>
                <w:lang w:val="en-US" w:eastAsia="zh-CN" w:bidi="ar-SA"/>
              </w:rPr>
            </w:pPr>
          </w:p>
          <w:p>
            <w:pPr>
              <w:pStyle w:val="2"/>
              <w:rPr>
                <w:rFonts w:hint="eastAsia" w:ascii="宋体" w:hAnsi="宋体" w:eastAsia="宋体" w:cs="宋体"/>
                <w:kern w:val="2"/>
                <w:sz w:val="24"/>
                <w:szCs w:val="24"/>
                <w:lang w:val="en-US" w:eastAsia="zh-CN" w:bidi="ar-SA"/>
              </w:rPr>
            </w:pPr>
          </w:p>
          <w:p>
            <w:pPr>
              <w:pStyle w:val="2"/>
              <w:rPr>
                <w:rFonts w:hint="eastAsia" w:ascii="宋体" w:hAnsi="宋体" w:eastAsia="宋体" w:cs="宋体"/>
                <w:kern w:val="2"/>
                <w:sz w:val="24"/>
                <w:szCs w:val="24"/>
                <w:lang w:val="en-US" w:eastAsia="zh-CN" w:bidi="ar-SA"/>
              </w:rPr>
            </w:pPr>
          </w:p>
          <w:p>
            <w:pPr>
              <w:pStyle w:val="2"/>
              <w:rPr>
                <w:rFonts w:hint="eastAsia" w:ascii="宋体" w:hAnsi="宋体" w:eastAsia="宋体" w:cs="宋体"/>
                <w:kern w:val="2"/>
                <w:sz w:val="24"/>
                <w:szCs w:val="24"/>
                <w:lang w:val="en-US" w:eastAsia="zh-CN" w:bidi="ar-SA"/>
              </w:rPr>
            </w:pPr>
          </w:p>
          <w:p>
            <w:pPr>
              <w:pStyle w:val="2"/>
              <w:rPr>
                <w:rFonts w:hint="eastAsia" w:ascii="宋体" w:hAnsi="宋体" w:eastAsia="宋体" w:cs="宋体"/>
                <w:kern w:val="2"/>
                <w:sz w:val="24"/>
                <w:szCs w:val="24"/>
                <w:lang w:val="en-US" w:eastAsia="zh-CN" w:bidi="ar-SA"/>
              </w:rPr>
            </w:pPr>
          </w:p>
          <w:p>
            <w:pPr>
              <w:pStyle w:val="2"/>
              <w:ind w:left="0" w:leftChars="0" w:firstLine="240" w:firstLineChars="100"/>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0" w:type="auto"/>
            <w:vAlign w:val="top"/>
          </w:tcPr>
          <w:p>
            <w:pPr>
              <w:rPr>
                <w:rFonts w:ascii="Times New Roman" w:hAnsi="Times New Roman" w:eastAsia="宋体" w:cs="Times New Roman"/>
                <w:kern w:val="2"/>
                <w:sz w:val="21"/>
                <w:lang w:val="en-US" w:eastAsia="zh-CN" w:bidi="ar-SA"/>
              </w:rPr>
            </w:pPr>
            <w:r>
              <w:rPr>
                <w:rFonts w:hint="eastAsia" w:ascii="宋体" w:hAnsi="宋体" w:eastAsia="宋体" w:cs="宋体"/>
                <w:sz w:val="24"/>
                <w:szCs w:val="24"/>
              </w:rPr>
              <w:t>能源方针</w:t>
            </w:r>
          </w:p>
        </w:tc>
        <w:tc>
          <w:tcPr>
            <w:tcW w:w="0" w:type="auto"/>
            <w:vAlign w:val="top"/>
          </w:tcPr>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5.2 </w:t>
            </w:r>
          </w:p>
          <w:p>
            <w:pPr>
              <w:rPr>
                <w:rFonts w:hint="eastAsia" w:ascii="宋体" w:hAnsi="宋体" w:eastAsia="宋体" w:cs="宋体"/>
                <w:b w:val="0"/>
                <w:bCs w:val="0"/>
                <w:color w:val="auto"/>
                <w:kern w:val="2"/>
                <w:sz w:val="24"/>
                <w:szCs w:val="24"/>
                <w:lang w:val="en-US" w:eastAsia="zh-CN" w:bidi="ar-SA"/>
              </w:rPr>
            </w:pPr>
          </w:p>
        </w:tc>
        <w:tc>
          <w:tcPr>
            <w:tcW w:w="10865" w:type="dxa"/>
            <w:vAlign w:val="center"/>
          </w:tcPr>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组织的能源方针：</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“遵守法规 清洁生产；节能降耗 创新改造；能耗限额 持续改进”、</w:t>
            </w:r>
          </w:p>
          <w:p>
            <w:pP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包含了“以确保实现目标和能源指标的必要的资源和有效的信息、以满足适用的法律要求和能源效率、能源使用和能源消耗相关的其他要求、以获得能源管理体系和能源绩效的持续改进、支持能影响能源绩效的节能产品和服务的采购、支持考虑能源绩效改进活动的设计”、且予以发布——基本符合规定；</w:t>
            </w:r>
          </w:p>
        </w:tc>
        <w:tc>
          <w:tcPr>
            <w:tcW w:w="724" w:type="dxa"/>
            <w:vAlign w:val="top"/>
          </w:tcPr>
          <w:p>
            <w:pPr>
              <w:rPr>
                <w:rFonts w:hint="eastAsia"/>
                <w:lang w:val="en-US" w:eastAsia="zh-CN"/>
              </w:rPr>
            </w:pPr>
          </w:p>
          <w:p>
            <w:pPr>
              <w:pStyle w:val="2"/>
              <w:rPr>
                <w:rFonts w:hint="eastAsia" w:ascii="宋体" w:hAnsi="宋体" w:eastAsia="宋体" w:cs="宋体"/>
                <w:kern w:val="2"/>
                <w:sz w:val="24"/>
                <w:szCs w:val="24"/>
                <w:lang w:val="en-US" w:eastAsia="zh-CN" w:bidi="ar-SA"/>
              </w:rPr>
            </w:pPr>
          </w:p>
          <w:p>
            <w:pPr>
              <w:pStyle w:val="2"/>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组织的岗位、职责和权限</w:t>
            </w:r>
          </w:p>
          <w:p>
            <w:pPr>
              <w:rPr>
                <w:rFonts w:ascii="Times New Roman" w:hAnsi="Times New Roman" w:eastAsia="宋体" w:cs="Times New Roman"/>
                <w:kern w:val="2"/>
                <w:sz w:val="21"/>
                <w:lang w:val="en-US" w:eastAsia="zh-CN" w:bidi="ar-SA"/>
              </w:rPr>
            </w:pPr>
          </w:p>
        </w:tc>
        <w:tc>
          <w:tcPr>
            <w:tcW w:w="0" w:type="auto"/>
            <w:vAlign w:val="top"/>
          </w:tcPr>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5.3 </w:t>
            </w:r>
          </w:p>
          <w:p>
            <w:pPr>
              <w:rPr>
                <w:rFonts w:hint="eastAsia" w:ascii="宋体" w:hAnsi="宋体" w:eastAsia="宋体" w:cs="宋体"/>
                <w:b w:val="0"/>
                <w:bCs w:val="0"/>
                <w:color w:val="auto"/>
                <w:kern w:val="2"/>
                <w:sz w:val="24"/>
                <w:szCs w:val="24"/>
                <w:lang w:val="en-US" w:eastAsia="zh-CN" w:bidi="ar-SA"/>
              </w:rPr>
            </w:pPr>
          </w:p>
        </w:tc>
        <w:tc>
          <w:tcPr>
            <w:tcW w:w="10865" w:type="dxa"/>
            <w:vAlign w:val="top"/>
          </w:tcPr>
          <w:p>
            <w:pPr>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查</w:t>
            </w:r>
            <w:r>
              <w:rPr>
                <w:rFonts w:hint="eastAsia" w:ascii="宋体" w:hAnsi="宋体" w:eastAsia="宋体" w:cs="宋体"/>
                <w:b w:val="0"/>
                <w:bCs w:val="0"/>
                <w:color w:val="auto"/>
                <w:sz w:val="24"/>
                <w:szCs w:val="24"/>
                <w:lang w:val="en-US" w:eastAsia="zh-CN"/>
              </w:rPr>
              <w:t>最高管理者</w:t>
            </w:r>
            <w:r>
              <w:rPr>
                <w:rFonts w:hint="eastAsia" w:ascii="宋体" w:hAnsi="宋体" w:cs="宋体"/>
                <w:b w:val="0"/>
                <w:bCs w:val="0"/>
                <w:color w:val="auto"/>
                <w:sz w:val="24"/>
                <w:szCs w:val="24"/>
                <w:lang w:val="en-US" w:eastAsia="zh-CN"/>
              </w:rPr>
              <w:t xml:space="preserve"> 可以</w:t>
            </w:r>
            <w:r>
              <w:rPr>
                <w:rFonts w:hint="eastAsia" w:ascii="宋体" w:hAnsi="宋体" w:eastAsia="宋体" w:cs="宋体"/>
                <w:b w:val="0"/>
                <w:bCs w:val="0"/>
                <w:color w:val="auto"/>
                <w:sz w:val="24"/>
                <w:szCs w:val="24"/>
                <w:lang w:val="en-US" w:eastAsia="zh-CN"/>
              </w:rPr>
              <w:t>确保组织内相关角色的职责和权限得到分配和沟通。</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最高管理者分配给能源管理团队职责和权力</w:t>
            </w:r>
            <w:r>
              <w:rPr>
                <w:rFonts w:hint="eastAsia" w:ascii="宋体" w:hAnsi="宋体" w:cs="宋体"/>
                <w:b w:val="0"/>
                <w:bCs w:val="0"/>
                <w:color w:val="auto"/>
                <w:sz w:val="24"/>
                <w:szCs w:val="24"/>
                <w:lang w:val="en-US" w:eastAsia="zh-CN"/>
              </w:rPr>
              <w:t>包括</w:t>
            </w:r>
            <w:r>
              <w:rPr>
                <w:rFonts w:hint="eastAsia" w:ascii="宋体" w:hAnsi="宋体" w:eastAsia="宋体" w:cs="宋体"/>
                <w:b w:val="0"/>
                <w:bCs w:val="0"/>
                <w:color w:val="auto"/>
                <w:sz w:val="24"/>
                <w:szCs w:val="24"/>
                <w:lang w:val="en-US" w:eastAsia="zh-CN"/>
              </w:rPr>
              <w:t>:</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a)确保环境管理体系的建立、实施、维护和持续改进;</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b)确保EnMS符合本文件的要求;</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c)执行行动计划(见6.2)，持续改善能源性能;</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d)定期向最高管理层汇报EnMS的绩效和能源绩效的改善情况;</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e)建立标准和方法，以确保EnMS的操作和控制是有效的。 </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最高管理者管理职责和权限：</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⑴ 确定能源方针，并实践和保持能源方针；</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⑵ 任命管理者代表和批准组建能源管理团队；</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⑶ 提供能源管理体系建立、实施、保持和持续改进所需要的资源，以达到能源绩效目标（资源包括人力资源、专业技能、技术和财务资源等）。</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⑷ 确定能源管理体系的范围和边界；</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⑸ 在内部传达能源管理的重要性；</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⑹ 确保建立能源目标、指标；</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⑺ 确保能源绩效参数适用于本公司；</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⑻ 在长期规划中考虑能源绩效问题；</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⑼ 确保按照规定的时间间隔评价和报告能源管理的结果；</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⑽ 实施管理评审。</w:t>
            </w:r>
          </w:p>
          <w:p>
            <w:pPr>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——查上述内容在最高管理者的工作中基本得到体现。</w:t>
            </w:r>
          </w:p>
        </w:tc>
        <w:tc>
          <w:tcPr>
            <w:tcW w:w="724" w:type="dxa"/>
            <w:vAlign w:val="top"/>
          </w:tcPr>
          <w:p>
            <w:pPr>
              <w:rPr>
                <w:rFonts w:hint="eastAsia"/>
                <w:lang w:val="en-US" w:eastAsia="zh-CN"/>
              </w:rPr>
            </w:pPr>
          </w:p>
          <w:p>
            <w:pPr>
              <w:pStyle w:val="2"/>
              <w:rPr>
                <w:rFonts w:hint="eastAsia" w:ascii="宋体" w:hAnsi="宋体" w:eastAsia="宋体" w:cs="宋体"/>
                <w:kern w:val="2"/>
                <w:sz w:val="24"/>
                <w:szCs w:val="24"/>
                <w:lang w:val="en-US" w:eastAsia="zh-CN" w:bidi="ar-SA"/>
              </w:rPr>
            </w:pPr>
          </w:p>
          <w:p>
            <w:pPr>
              <w:pStyle w:val="2"/>
              <w:rPr>
                <w:rFonts w:hint="eastAsia" w:ascii="宋体" w:hAnsi="宋体" w:eastAsia="宋体" w:cs="宋体"/>
                <w:kern w:val="2"/>
                <w:sz w:val="24"/>
                <w:szCs w:val="24"/>
                <w:lang w:val="en-US" w:eastAsia="zh-CN" w:bidi="ar-SA"/>
              </w:rPr>
            </w:pPr>
          </w:p>
          <w:p>
            <w:pPr>
              <w:pStyle w:val="2"/>
              <w:rPr>
                <w:rFonts w:hint="eastAsia" w:ascii="宋体" w:hAnsi="宋体" w:eastAsia="宋体" w:cs="宋体"/>
                <w:kern w:val="2"/>
                <w:sz w:val="24"/>
                <w:szCs w:val="24"/>
                <w:lang w:val="en-US" w:eastAsia="zh-CN" w:bidi="ar-SA"/>
              </w:rPr>
            </w:pPr>
          </w:p>
          <w:p>
            <w:pPr>
              <w:pStyle w:val="2"/>
              <w:rPr>
                <w:rFonts w:hint="eastAsia" w:ascii="宋体" w:hAnsi="宋体" w:eastAsia="宋体" w:cs="宋体"/>
                <w:kern w:val="2"/>
                <w:sz w:val="24"/>
                <w:szCs w:val="24"/>
                <w:lang w:val="en-US" w:eastAsia="zh-CN" w:bidi="ar-SA"/>
              </w:rPr>
            </w:pPr>
          </w:p>
          <w:p>
            <w:pPr>
              <w:pStyle w:val="2"/>
              <w:rPr>
                <w:rFonts w:hint="eastAsia" w:ascii="宋体" w:hAnsi="宋体" w:eastAsia="宋体" w:cs="宋体"/>
                <w:kern w:val="2"/>
                <w:sz w:val="24"/>
                <w:szCs w:val="24"/>
                <w:lang w:val="en-US" w:eastAsia="zh-CN" w:bidi="ar-SA"/>
              </w:rPr>
            </w:pPr>
          </w:p>
          <w:p>
            <w:pPr>
              <w:pStyle w:val="2"/>
              <w:rPr>
                <w:rFonts w:hint="eastAsia" w:ascii="宋体" w:hAnsi="宋体" w:eastAsia="宋体" w:cs="宋体"/>
                <w:kern w:val="2"/>
                <w:sz w:val="24"/>
                <w:szCs w:val="24"/>
                <w:lang w:val="en-US" w:eastAsia="zh-CN" w:bidi="ar-SA"/>
              </w:rPr>
            </w:pPr>
          </w:p>
          <w:p>
            <w:pPr>
              <w:pStyle w:val="2"/>
              <w:rPr>
                <w:rFonts w:hint="eastAsia" w:ascii="宋体" w:hAnsi="宋体" w:eastAsia="宋体" w:cs="宋体"/>
                <w:kern w:val="2"/>
                <w:sz w:val="24"/>
                <w:szCs w:val="24"/>
                <w:lang w:val="en-US" w:eastAsia="zh-CN" w:bidi="ar-SA"/>
              </w:rPr>
            </w:pPr>
          </w:p>
          <w:p>
            <w:pPr>
              <w:pStyle w:val="2"/>
              <w:rPr>
                <w:rFonts w:hint="eastAsia" w:ascii="宋体" w:hAnsi="宋体" w:eastAsia="宋体" w:cs="宋体"/>
                <w:kern w:val="2"/>
                <w:sz w:val="24"/>
                <w:szCs w:val="24"/>
                <w:lang w:val="en-US" w:eastAsia="zh-CN" w:bidi="ar-SA"/>
              </w:rPr>
            </w:pPr>
          </w:p>
          <w:p>
            <w:pPr>
              <w:pStyle w:val="2"/>
              <w:rPr>
                <w:rFonts w:hint="eastAsia" w:ascii="宋体" w:hAnsi="宋体" w:eastAsia="宋体" w:cs="宋体"/>
                <w:kern w:val="2"/>
                <w:sz w:val="24"/>
                <w:szCs w:val="24"/>
                <w:lang w:val="en-US" w:eastAsia="zh-CN" w:bidi="ar-SA"/>
              </w:rPr>
            </w:pPr>
          </w:p>
          <w:p>
            <w:pPr>
              <w:pStyle w:val="2"/>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0" w:type="auto"/>
            <w:vAlign w:val="top"/>
          </w:tcPr>
          <w:p>
            <w:pP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应对风险和机遇的措施  </w:t>
            </w:r>
          </w:p>
          <w:p>
            <w:pPr>
              <w:rPr>
                <w:rFonts w:hint="eastAsia" w:ascii="宋体" w:hAnsi="宋体" w:eastAsia="宋体" w:cs="宋体"/>
                <w:b w:val="0"/>
                <w:bCs w:val="0"/>
                <w:color w:val="auto"/>
                <w:kern w:val="2"/>
                <w:sz w:val="24"/>
                <w:szCs w:val="24"/>
                <w:lang w:val="en-US" w:eastAsia="zh-CN" w:bidi="ar-SA"/>
              </w:rPr>
            </w:pPr>
          </w:p>
        </w:tc>
        <w:tc>
          <w:tcPr>
            <w:tcW w:w="0" w:type="auto"/>
            <w:vAlign w:val="top"/>
          </w:tcPr>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6.1.1</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6.1.2</w:t>
            </w:r>
          </w:p>
          <w:p>
            <w:pPr>
              <w:rPr>
                <w:rFonts w:hint="eastAsia" w:ascii="宋体" w:hAnsi="宋体" w:eastAsia="宋体" w:cs="宋体"/>
                <w:b w:val="0"/>
                <w:bCs w:val="0"/>
                <w:color w:val="auto"/>
                <w:kern w:val="2"/>
                <w:sz w:val="24"/>
                <w:szCs w:val="24"/>
                <w:lang w:val="en-US" w:eastAsia="zh-CN" w:bidi="ar-SA"/>
              </w:rPr>
            </w:pPr>
          </w:p>
        </w:tc>
        <w:tc>
          <w:tcPr>
            <w:tcW w:w="10865" w:type="dxa"/>
            <w:vAlign w:val="center"/>
          </w:tcPr>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编制了《2021年“能源”风险与机遇评价及应对措施策划表》包括“内外部因素、相关方及其需求、风险类别、风险机遇描述、应对措施的策划、措施有效性评价、执行和责任部门”等内容；其中：</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识别的风险_18项、具体包括“能耗、主要耗能设备能效水平不满足法律法规和政策要求、现有的设备如果比较落后，造成耗能高、如果现有的能源计量管理制度不完善，能源计量器具管理不当，容易造成能源消耗数据不准确，能源考核数据失真，给整体能源管理工作带来较大困扰险”等；</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相应的控制措施为“避免风险、 承担风险、消除风险源、改变风险的可能性和后果、分担风险、延缓风险”等；</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通过应对措施将风险转换为机遇导致“采用新实践、推出新产品、开辟新市场、赢得新客户、建立合作伙伴关系、使用新技术以及能够解决组织或其顾客需求的其他有利可能性”等内容；</w:t>
            </w:r>
          </w:p>
          <w:p>
            <w:pP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措施评审结论“有效”、有责任部门和相关人员的评审和评价要求信息——查应对措施与其对产品和服务符合性的潜在影响基本相适应、文件有编审批、更新日期</w:t>
            </w:r>
            <w:r>
              <w:rPr>
                <w:rFonts w:hint="eastAsia" w:ascii="宋体" w:hAnsi="宋体" w:cs="宋体"/>
                <w:b w:val="0"/>
                <w:bCs w:val="0"/>
                <w:color w:val="auto"/>
                <w:sz w:val="24"/>
                <w:szCs w:val="24"/>
                <w:lang w:val="en-US" w:eastAsia="zh-CN"/>
              </w:rPr>
              <w:t>2020.10.21</w:t>
            </w:r>
            <w:r>
              <w:rPr>
                <w:rFonts w:hint="eastAsia" w:ascii="宋体" w:hAnsi="宋体" w:eastAsia="宋体" w:cs="宋体"/>
                <w:b w:val="0"/>
                <w:bCs w:val="0"/>
                <w:color w:val="auto"/>
                <w:sz w:val="24"/>
                <w:szCs w:val="24"/>
                <w:lang w:val="en-US" w:eastAsia="zh-CN"/>
              </w:rPr>
              <w:t>；</w:t>
            </w:r>
          </w:p>
        </w:tc>
        <w:tc>
          <w:tcPr>
            <w:tcW w:w="724" w:type="dxa"/>
            <w:vAlign w:val="top"/>
          </w:tcPr>
          <w:p>
            <w:pPr>
              <w:rPr>
                <w:rFonts w:hint="eastAsia"/>
                <w:lang w:val="en-US" w:eastAsia="zh-CN"/>
              </w:rPr>
            </w:pPr>
          </w:p>
          <w:p>
            <w:pPr>
              <w:pStyle w:val="2"/>
              <w:rPr>
                <w:rFonts w:hint="eastAsia" w:ascii="宋体" w:hAnsi="宋体" w:eastAsia="宋体" w:cs="宋体"/>
                <w:kern w:val="2"/>
                <w:sz w:val="24"/>
                <w:szCs w:val="24"/>
                <w:lang w:val="en-US" w:eastAsia="zh-CN" w:bidi="ar-SA"/>
              </w:rPr>
            </w:pPr>
          </w:p>
          <w:p>
            <w:pPr>
              <w:pStyle w:val="2"/>
              <w:rPr>
                <w:rFonts w:hint="eastAsia" w:ascii="宋体" w:hAnsi="宋体" w:eastAsia="宋体" w:cs="宋体"/>
                <w:kern w:val="2"/>
                <w:sz w:val="24"/>
                <w:szCs w:val="24"/>
                <w:lang w:val="en-US" w:eastAsia="zh-CN" w:bidi="ar-SA"/>
              </w:rPr>
            </w:pPr>
          </w:p>
          <w:p>
            <w:pPr>
              <w:pStyle w:val="2"/>
              <w:rPr>
                <w:rFonts w:hint="eastAsia" w:ascii="宋体" w:hAnsi="宋体" w:eastAsia="宋体" w:cs="宋体"/>
                <w:kern w:val="2"/>
                <w:sz w:val="24"/>
                <w:szCs w:val="24"/>
                <w:lang w:val="en-US" w:eastAsia="zh-CN" w:bidi="ar-SA"/>
              </w:rPr>
            </w:pPr>
          </w:p>
          <w:p>
            <w:pPr>
              <w:pStyle w:val="2"/>
              <w:rPr>
                <w:rFonts w:hint="eastAsia" w:ascii="宋体" w:hAnsi="宋体" w:eastAsia="宋体" w:cs="宋体"/>
                <w:kern w:val="2"/>
                <w:sz w:val="24"/>
                <w:szCs w:val="24"/>
                <w:lang w:val="en-US" w:eastAsia="zh-CN" w:bidi="ar-SA"/>
              </w:rPr>
            </w:pPr>
          </w:p>
          <w:p>
            <w:pPr>
              <w:pStyle w:val="2"/>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目标能源指标方案</w:t>
            </w:r>
          </w:p>
        </w:tc>
        <w:tc>
          <w:tcPr>
            <w:tcW w:w="0" w:type="auto"/>
            <w:vAlign w:val="top"/>
          </w:tcPr>
          <w:p>
            <w:pP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6.2</w:t>
            </w:r>
          </w:p>
        </w:tc>
        <w:tc>
          <w:tcPr>
            <w:tcW w:w="10865" w:type="dxa"/>
            <w:vAlign w:val="center"/>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公司</w:t>
            </w:r>
            <w:r>
              <w:rPr>
                <w:rFonts w:hint="eastAsia" w:asciiTheme="minorEastAsia" w:hAnsiTheme="minorEastAsia" w:eastAsiaTheme="minorEastAsia" w:cstheme="minorEastAsia"/>
                <w:sz w:val="24"/>
                <w:szCs w:val="24"/>
                <w:u w:val="single"/>
                <w:lang w:val="en-US" w:eastAsia="zh-CN"/>
              </w:rPr>
              <w:t>提出2020年总目标“</w:t>
            </w:r>
            <w:r>
              <w:rPr>
                <w:rFonts w:hint="eastAsia" w:ascii="宋体" w:hAnsi="宋体" w:eastAsia="宋体" w:cs="宋体"/>
                <w:b w:val="0"/>
                <w:bCs w:val="0"/>
                <w:color w:val="auto"/>
                <w:sz w:val="24"/>
                <w:szCs w:val="24"/>
                <w:lang w:val="en-US" w:eastAsia="zh-CN"/>
              </w:rPr>
              <w:t>清洁生产，节能达标（节能量），行业先进（能耗限额）”、</w:t>
            </w:r>
            <w:r>
              <w:rPr>
                <w:rFonts w:hint="eastAsia" w:asciiTheme="minorEastAsia" w:hAnsiTheme="minorEastAsia" w:eastAsiaTheme="minorEastAsia" w:cstheme="minorEastAsia"/>
                <w:sz w:val="24"/>
                <w:szCs w:val="24"/>
                <w:lang w:val="en-US" w:eastAsia="zh-CN"/>
              </w:rPr>
              <w:t>目</w:t>
            </w:r>
            <w:r>
              <w:rPr>
                <w:rFonts w:hint="eastAsia" w:asciiTheme="minorEastAsia" w:hAnsiTheme="minorEastAsia" w:eastAsiaTheme="minorEastAsia" w:cstheme="minorEastAsia"/>
                <w:sz w:val="24"/>
                <w:szCs w:val="24"/>
                <w:u w:val="single"/>
                <w:lang w:val="en-US" w:eastAsia="zh-CN"/>
              </w:rPr>
              <w:t>标分解的厂级标准</w:t>
            </w:r>
            <w:r>
              <w:rPr>
                <w:rFonts w:hint="eastAsia" w:asciiTheme="minorEastAsia" w:hAnsiTheme="minorEastAsia" w:eastAsiaTheme="minorEastAsia" w:cstheme="minorEastAsia"/>
                <w:sz w:val="24"/>
                <w:szCs w:val="24"/>
                <w:lang w:val="en-US" w:eastAsia="zh-CN"/>
              </w:rPr>
              <w:t>是：</w:t>
            </w:r>
            <w:r>
              <w:rPr>
                <w:rFonts w:hint="eastAsia" w:asciiTheme="minorEastAsia" w:hAnsiTheme="minorEastAsia" w:eastAsiaTheme="minorEastAsia" w:cstheme="minorEastAsia"/>
                <w:b/>
                <w:bCs/>
                <w:sz w:val="24"/>
                <w:szCs w:val="24"/>
                <w:lang w:val="en-US" w:eastAsia="zh-CN"/>
              </w:rPr>
              <w:t>（辅助附属部门同公司总目</w:t>
            </w:r>
            <w:r>
              <w:rPr>
                <w:rFonts w:hint="eastAsia" w:asciiTheme="minorEastAsia" w:hAnsiTheme="minorEastAsia" w:eastAsiaTheme="minorEastAsia" w:cstheme="minorEastAsia"/>
                <w:sz w:val="24"/>
                <w:szCs w:val="24"/>
                <w:lang w:val="en-US" w:eastAsia="zh-CN"/>
              </w:rPr>
              <w:t>标）</w:t>
            </w:r>
          </w:p>
          <w:p>
            <w:pPr>
              <w:pStyle w:val="2"/>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2020年的能源</w:t>
            </w:r>
            <w:r>
              <w:rPr>
                <w:rFonts w:hint="eastAsia" w:ascii="宋体" w:hAnsi="宋体" w:cs="Times New Roman"/>
                <w:color w:val="000000"/>
                <w:kern w:val="2"/>
                <w:sz w:val="24"/>
                <w:szCs w:val="24"/>
                <w:lang w:val="en-US" w:eastAsia="zh-CN" w:bidi="ar-SA"/>
              </w:rPr>
              <w:t>万元产值</w:t>
            </w:r>
            <w:r>
              <w:rPr>
                <w:rFonts w:hint="eastAsia" w:ascii="宋体" w:hAnsi="宋体" w:eastAsia="宋体" w:cs="Times New Roman"/>
                <w:color w:val="000000"/>
                <w:kern w:val="2"/>
                <w:sz w:val="24"/>
                <w:szCs w:val="24"/>
                <w:lang w:val="en-US" w:eastAsia="zh-CN" w:bidi="ar-SA"/>
              </w:rPr>
              <w:t>综合能耗目标为：6.93kgce/</w:t>
            </w:r>
            <w:r>
              <w:rPr>
                <w:rFonts w:hint="default" w:ascii="宋体" w:hAnsi="宋体" w:eastAsia="宋体" w:cs="Times New Roman"/>
                <w:color w:val="000000"/>
                <w:kern w:val="2"/>
                <w:sz w:val="24"/>
                <w:szCs w:val="24"/>
                <w:lang w:val="en-US" w:eastAsia="zh-CN" w:bidi="ar-SA"/>
              </w:rPr>
              <w:t>万</w:t>
            </w:r>
            <w:r>
              <w:rPr>
                <w:rFonts w:hint="eastAsia" w:ascii="宋体" w:hAnsi="宋体" w:eastAsia="宋体" w:cs="Times New Roman"/>
                <w:color w:val="000000"/>
                <w:kern w:val="2"/>
                <w:sz w:val="24"/>
                <w:szCs w:val="24"/>
                <w:lang w:val="en-US" w:eastAsia="zh-CN" w:bidi="ar-SA"/>
              </w:rPr>
              <w:t>元</w:t>
            </w:r>
          </w:p>
          <w:p>
            <w:pPr>
              <w:pStyle w:val="2"/>
              <w:numPr>
                <w:ilvl w:val="0"/>
                <w:numId w:val="0"/>
              </w:numPr>
              <w:ind w:left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由能源推进部门会同生产运营部能源科统筹规划能源管理方案、管理层对管理方案进行监督检查和验证、各部门在管理评审会上汇报一年来目标指标实现情况、管评输出包括公司总目标实现情况的总结及对2021年总目标的确定；</w:t>
            </w:r>
          </w:p>
          <w:p>
            <w:pPr>
              <w:pStyle w:val="2"/>
              <w:numPr>
                <w:ilvl w:val="0"/>
                <w:numId w:val="0"/>
              </w:numPr>
              <w:ind w:leftChars="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查2020年目标完成情况为：6.79kgce/</w:t>
            </w:r>
            <w:r>
              <w:rPr>
                <w:rFonts w:hint="default" w:asciiTheme="minorEastAsia" w:hAnsiTheme="minorEastAsia" w:eastAsiaTheme="minorEastAsia" w:cstheme="minorEastAsia"/>
                <w:sz w:val="24"/>
                <w:szCs w:val="24"/>
                <w:lang w:val="en-US" w:eastAsia="zh-CN"/>
              </w:rPr>
              <w:t>万</w:t>
            </w:r>
            <w:r>
              <w:rPr>
                <w:rFonts w:hint="eastAsia" w:asciiTheme="minorEastAsia" w:hAnsiTheme="minorEastAsia" w:eastAsiaTheme="minorEastAsia" w:cstheme="minorEastAsia"/>
                <w:sz w:val="24"/>
                <w:szCs w:val="24"/>
                <w:lang w:val="en-US" w:eastAsia="zh-CN"/>
              </w:rPr>
              <w:t>元，考核已经达标、符合规定；</w:t>
            </w:r>
          </w:p>
        </w:tc>
        <w:tc>
          <w:tcPr>
            <w:tcW w:w="724" w:type="dxa"/>
            <w:vAlign w:val="top"/>
          </w:tcPr>
          <w:p>
            <w:pPr>
              <w:rPr>
                <w:rFonts w:hint="eastAsia"/>
                <w:lang w:val="en-US" w:eastAsia="zh-CN"/>
              </w:rPr>
            </w:pPr>
            <w:r>
              <w:rPr>
                <w:rFonts w:hint="eastAsia"/>
                <w:lang w:val="en-US" w:eastAsia="zh-CN"/>
              </w:rPr>
              <w:t xml:space="preserve"> </w:t>
            </w:r>
          </w:p>
          <w:p>
            <w:pPr>
              <w:pStyle w:val="2"/>
              <w:rPr>
                <w:rFonts w:hint="eastAsia" w:ascii="宋体" w:hAnsi="宋体" w:cs="宋体"/>
                <w:color w:val="FF0000"/>
                <w:kern w:val="2"/>
                <w:sz w:val="24"/>
                <w:szCs w:val="24"/>
                <w:lang w:val="en-US" w:eastAsia="zh-CN" w:bidi="ar-SA"/>
              </w:rPr>
            </w:pPr>
          </w:p>
          <w:p>
            <w:pPr>
              <w:pStyle w:val="2"/>
              <w:rPr>
                <w:rFonts w:hint="eastAsia" w:ascii="宋体" w:hAnsi="宋体" w:cs="宋体"/>
                <w:color w:val="FF0000"/>
                <w:kern w:val="2"/>
                <w:sz w:val="24"/>
                <w:szCs w:val="24"/>
                <w:lang w:val="en-US" w:eastAsia="zh-CN" w:bidi="ar-SA"/>
              </w:rPr>
            </w:pPr>
          </w:p>
          <w:p>
            <w:pPr>
              <w:pStyle w:val="2"/>
              <w:rPr>
                <w:rFonts w:hint="default" w:ascii="宋体" w:hAnsi="宋体" w:cs="宋体"/>
                <w:color w:val="FF0000"/>
                <w:kern w:val="2"/>
                <w:sz w:val="24"/>
                <w:szCs w:val="24"/>
                <w:lang w:val="en-US" w:eastAsia="zh-CN" w:bidi="ar-SA"/>
              </w:rPr>
            </w:pPr>
            <w:r>
              <w:rPr>
                <w:rFonts w:hint="eastAsia" w:asciiTheme="minorEastAsia" w:hAnsiTheme="minorEastAsia" w:eastAsiaTheme="minorEastAsia" w:cstheme="minor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0" w:type="auto"/>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资源</w:t>
            </w:r>
          </w:p>
        </w:tc>
        <w:tc>
          <w:tcPr>
            <w:tcW w:w="0" w:type="auto"/>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7.1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kern w:val="2"/>
                <w:sz w:val="24"/>
                <w:szCs w:val="24"/>
                <w:lang w:val="en-US" w:eastAsia="zh-CN" w:bidi="ar-SA"/>
              </w:rPr>
            </w:pPr>
          </w:p>
        </w:tc>
        <w:tc>
          <w:tcPr>
            <w:tcW w:w="108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u w:val="single"/>
                <w:lang w:val="en-US" w:eastAsia="zh-CN"/>
              </w:rPr>
              <w:t>现有资源</w:t>
            </w:r>
            <w:r>
              <w:rPr>
                <w:rFonts w:hint="eastAsia" w:ascii="宋体" w:hAnsi="宋体" w:eastAsia="宋体" w:cs="宋体"/>
                <w:b w:val="0"/>
                <w:bCs w:val="0"/>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b w:val="0"/>
                <w:bCs w:val="0"/>
                <w:color w:val="auto"/>
                <w:sz w:val="24"/>
                <w:szCs w:val="24"/>
                <w:lang w:val="en-US" w:eastAsia="zh-CN"/>
              </w:rPr>
              <w:t>生产设</w:t>
            </w:r>
            <w:r>
              <w:rPr>
                <w:rFonts w:hint="eastAsia" w:asciiTheme="minorEastAsia" w:hAnsiTheme="minorEastAsia" w:eastAsiaTheme="minorEastAsia" w:cstheme="minorEastAsia"/>
                <w:kern w:val="2"/>
                <w:sz w:val="24"/>
                <w:szCs w:val="24"/>
                <w:lang w:val="en-US" w:eastAsia="zh-CN" w:bidi="ar-SA"/>
              </w:rPr>
              <w:t>备设施包括切割机、包边机、开孔机、冲压折弯机、电焊机等</w:t>
            </w:r>
            <w:r>
              <w:rPr>
                <w:rFonts w:hint="eastAsia" w:ascii="宋体" w:hAnsi="宋体" w:eastAsia="宋体" w:cs="宋体"/>
                <w:b w:val="0"/>
                <w:bCs w:val="0"/>
                <w:color w:val="auto"/>
                <w:sz w:val="24"/>
                <w:szCs w:val="24"/>
                <w:lang w:val="en-US" w:eastAsia="zh-CN"/>
              </w:rPr>
              <w:t>、人员包括中高级技术人员和生产操作人员及办公室行政人员、知识“</w:t>
            </w:r>
            <w:r>
              <w:rPr>
                <w:rFonts w:hint="eastAsia" w:ascii="宋体" w:hAnsi="宋体" w:cs="宋体"/>
                <w:b w:val="0"/>
                <w:bCs w:val="0"/>
                <w:color w:val="auto"/>
                <w:sz w:val="24"/>
                <w:szCs w:val="24"/>
                <w:lang w:val="en-US" w:eastAsia="zh-CN"/>
              </w:rPr>
              <w:t>电焊、冲压、切割、包边、开孔</w:t>
            </w:r>
            <w:r>
              <w:rPr>
                <w:rFonts w:hint="eastAsia" w:ascii="宋体" w:hAnsi="宋体" w:eastAsia="宋体" w:cs="宋体"/>
                <w:b w:val="0"/>
                <w:bCs w:val="0"/>
                <w:color w:val="auto"/>
                <w:sz w:val="24"/>
                <w:szCs w:val="24"/>
                <w:lang w:val="en-US" w:eastAsia="zh-CN"/>
              </w:rPr>
              <w:t>”等；</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受限情况描述：“无”；</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rPr>
              <w:t>组织目前</w:t>
            </w:r>
            <w:r>
              <w:rPr>
                <w:rFonts w:hint="eastAsia" w:ascii="宋体" w:hAnsi="宋体" w:eastAsia="宋体" w:cs="宋体"/>
                <w:b w:val="0"/>
                <w:bCs w:val="0"/>
                <w:color w:val="auto"/>
                <w:sz w:val="24"/>
                <w:szCs w:val="24"/>
                <w:lang w:val="en-US" w:eastAsia="zh-CN"/>
              </w:rPr>
              <w:t>的</w:t>
            </w:r>
            <w:r>
              <w:rPr>
                <w:rFonts w:hint="eastAsia" w:ascii="宋体" w:hAnsi="宋体" w:eastAsia="宋体" w:cs="宋体"/>
                <w:b w:val="0"/>
                <w:bCs w:val="0"/>
                <w:color w:val="auto"/>
                <w:sz w:val="24"/>
                <w:szCs w:val="24"/>
              </w:rPr>
              <w:t>能力</w:t>
            </w:r>
            <w:r>
              <w:rPr>
                <w:rFonts w:hint="eastAsia" w:ascii="宋体" w:hAnsi="宋体" w:eastAsia="宋体" w:cs="宋体"/>
                <w:b w:val="0"/>
                <w:bCs w:val="0"/>
                <w:color w:val="auto"/>
                <w:sz w:val="24"/>
                <w:szCs w:val="24"/>
                <w:lang w:val="en-US" w:eastAsia="zh-CN"/>
              </w:rPr>
              <w:t>水平状况</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包括</w:t>
            </w:r>
            <w:r>
              <w:rPr>
                <w:rFonts w:hint="eastAsia" w:ascii="宋体" w:hAnsi="宋体" w:eastAsia="宋体" w:cs="宋体"/>
                <w:b w:val="0"/>
                <w:bCs w:val="0"/>
                <w:color w:val="auto"/>
                <w:sz w:val="24"/>
                <w:szCs w:val="24"/>
              </w:rPr>
              <w:t>现有材料，人力资源及其能力，机械设备，信息和设施</w:t>
            </w:r>
            <w:r>
              <w:rPr>
                <w:rFonts w:hint="eastAsia" w:ascii="宋体" w:hAnsi="宋体" w:eastAsia="宋体" w:cs="宋体"/>
                <w:b w:val="0"/>
                <w:bCs w:val="0"/>
                <w:color w:val="auto"/>
                <w:sz w:val="24"/>
                <w:szCs w:val="24"/>
                <w:lang w:val="en-US" w:eastAsia="zh-CN"/>
              </w:rPr>
              <w:t>等情况的评审情况</w:t>
            </w:r>
            <w:r>
              <w:rPr>
                <w:rFonts w:hint="eastAsia" w:ascii="宋体" w:hAnsi="宋体" w:eastAsia="宋体" w:cs="宋体"/>
                <w:b w:val="0"/>
                <w:bCs w:val="0"/>
                <w:color w:val="auto"/>
                <w:sz w:val="24"/>
                <w:szCs w:val="24"/>
                <w:lang w:eastAsia="zh-CN"/>
              </w:rPr>
              <w:t>“</w:t>
            </w:r>
            <w:r>
              <w:rPr>
                <w:rFonts w:hint="eastAsia" w:ascii="宋体" w:hAnsi="宋体" w:cs="宋体"/>
                <w:b w:val="0"/>
                <w:bCs w:val="0"/>
                <w:color w:val="auto"/>
                <w:sz w:val="24"/>
                <w:szCs w:val="24"/>
                <w:lang w:val="en-US" w:eastAsia="zh-CN"/>
              </w:rPr>
              <w:t>基本满足要求</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w:t>
            </w:r>
          </w:p>
        </w:tc>
        <w:tc>
          <w:tcPr>
            <w:tcW w:w="724" w:type="dxa"/>
            <w:vAlign w:val="top"/>
          </w:tcPr>
          <w:p>
            <w:pPr>
              <w:rPr>
                <w:rFonts w:hint="eastAsia"/>
                <w:lang w:val="en-US" w:eastAsia="zh-CN"/>
              </w:rPr>
            </w:pPr>
          </w:p>
          <w:p>
            <w:pPr>
              <w:pStyle w:val="2"/>
              <w:rPr>
                <w:rFonts w:hint="eastAsia" w:ascii="宋体" w:hAnsi="宋体" w:eastAsia="宋体" w:cs="宋体"/>
                <w:kern w:val="2"/>
                <w:sz w:val="24"/>
                <w:szCs w:val="24"/>
                <w:lang w:val="en-US" w:eastAsia="zh-CN" w:bidi="ar-SA"/>
              </w:rPr>
            </w:pPr>
          </w:p>
          <w:p>
            <w:pPr>
              <w:pStyle w:val="2"/>
              <w:rPr>
                <w:rFonts w:hint="eastAsia" w:ascii="宋体" w:hAnsi="宋体" w:eastAsia="宋体" w:cs="宋体"/>
                <w:kern w:val="2"/>
                <w:sz w:val="24"/>
                <w:szCs w:val="24"/>
                <w:lang w:val="en-US" w:eastAsia="zh-CN" w:bidi="ar-SA"/>
              </w:rPr>
            </w:pPr>
          </w:p>
          <w:p>
            <w:pPr>
              <w:pStyle w:val="2"/>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color w:val="auto"/>
                <w:sz w:val="24"/>
                <w:szCs w:val="24"/>
                <w:lang w:val="en-US" w:eastAsia="zh-CN"/>
              </w:rPr>
              <w:t>管理评审</w:t>
            </w:r>
          </w:p>
        </w:tc>
        <w:tc>
          <w:tcPr>
            <w:tcW w:w="0" w:type="auto"/>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9.3</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b w:val="0"/>
                <w:bCs w:val="0"/>
                <w:color w:val="auto"/>
                <w:kern w:val="2"/>
                <w:sz w:val="24"/>
                <w:szCs w:val="24"/>
                <w:lang w:val="en-US" w:eastAsia="zh-CN" w:bidi="ar-SA"/>
              </w:rPr>
            </w:pPr>
          </w:p>
        </w:tc>
        <w:tc>
          <w:tcPr>
            <w:tcW w:w="108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委派相关部门编制了《能源管理制度》和节能管理办法等；</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lang w:val="en-US" w:eastAsia="zh-CN"/>
              </w:rPr>
            </w:pPr>
            <w:r>
              <w:rPr>
                <w:rFonts w:hint="eastAsia" w:ascii="宋体" w:hAnsi="宋体" w:eastAsia="宋体" w:cs="宋体"/>
                <w:color w:val="auto"/>
                <w:sz w:val="24"/>
                <w:szCs w:val="24"/>
                <w:lang w:val="en-US" w:eastAsia="zh-CN"/>
              </w:rPr>
              <w:t>任命能源小组对组织能源消耗使用的全过程进行管理、听取相关汇</w:t>
            </w:r>
            <w:r>
              <w:rPr>
                <w:rFonts w:hint="eastAsia" w:ascii="宋体" w:hAnsi="宋体" w:cs="宋体"/>
                <w:b w:val="0"/>
                <w:bCs w:val="0"/>
                <w:color w:val="auto"/>
                <w:sz w:val="24"/>
                <w:szCs w:val="24"/>
                <w:lang w:val="en-US" w:eastAsia="zh-CN"/>
              </w:rPr>
              <w:t>报、指示节能计划的执行等；</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编制了《管理评审计划》评审目的“评价能源管理体系符合性、适宜性和有效性，力求公司持续改进”、管评内容包括“方针适用性和贯彻性、目标指标实现、合规性、文件适宜性、结合内审第三方审核的问题及解决”等9项、会议主持人</w:t>
            </w:r>
            <w:r>
              <w:rPr>
                <w:rFonts w:hint="eastAsia" w:ascii="宋体" w:hAnsi="宋体" w:cs="宋体"/>
                <w:color w:val="auto"/>
                <w:sz w:val="24"/>
                <w:szCs w:val="24"/>
                <w:lang w:val="en-US" w:eastAsia="zh-CN"/>
              </w:rPr>
              <w:t>及计划批</w:t>
            </w:r>
            <w:r>
              <w:rPr>
                <w:rFonts w:hint="eastAsia" w:ascii="宋体" w:hAnsi="宋体" w:eastAsia="宋体" w:cs="宋体"/>
                <w:color w:val="auto"/>
                <w:sz w:val="24"/>
                <w:szCs w:val="24"/>
                <w:lang w:val="en-US" w:eastAsia="zh-CN"/>
              </w:rPr>
              <w:t>准人</w:t>
            </w:r>
            <w:r>
              <w:rPr>
                <w:rFonts w:hint="eastAsia" w:ascii="宋体" w:hAnsi="宋体" w:cs="宋体"/>
                <w:color w:val="auto"/>
                <w:sz w:val="24"/>
                <w:szCs w:val="24"/>
                <w:lang w:val="en-US" w:eastAsia="zh-CN"/>
              </w:rPr>
              <w:t>“吴丹”</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提供了《（管理评审）会议签到表》包括林</w:t>
            </w:r>
            <w:r>
              <w:rPr>
                <w:rFonts w:hint="eastAsia" w:ascii="宋体" w:hAnsi="宋体" w:cs="宋体"/>
                <w:color w:val="auto"/>
                <w:sz w:val="24"/>
                <w:szCs w:val="24"/>
                <w:lang w:val="en-US" w:eastAsia="zh-CN"/>
              </w:rPr>
              <w:t>吴丹、吴国勇、张雅娟、周建明、蒋虹、戴树海、方美珠</w:t>
            </w:r>
            <w:r>
              <w:rPr>
                <w:rFonts w:hint="eastAsia" w:ascii="宋体" w:hAnsi="宋体" w:eastAsia="宋体" w:cs="宋体"/>
                <w:color w:val="auto"/>
                <w:sz w:val="24"/>
                <w:szCs w:val="24"/>
                <w:lang w:val="en-US" w:eastAsia="zh-CN"/>
              </w:rPr>
              <w:t>等</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人签到信息；202</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提供“管理评审会议记录”包括“总经理强调了管理评审目的：评价能源管理体系的有效性、适宜性、充分性，及能源管理体系评价”等内容； </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提供各部门汇报材料5份、查覆盖了公司的能源相关部门；</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了《管理评审报告》包括时间地点目的内容参评人议程等信息——查符合策划的安排（管评计划）、报告内容“内审结果、能源管理体系运行适宜有效符合性、能源方针目标指标的适宜性和完成情况、能源管理水平、文件管理和能源意识方面 的提高程度、重点用能设备运行效率综合能耗节能量”等项；</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管评结论“本公司的能源管理体系基本是适宜的、充分的、有效的，节能的持续改进等”——查内容基本符合标准的要求；</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color w:val="auto"/>
                <w:sz w:val="24"/>
                <w:szCs w:val="24"/>
                <w:lang w:val="en-US" w:eastAsia="zh-CN"/>
              </w:rPr>
              <w:t>报告批准人</w:t>
            </w:r>
            <w:r>
              <w:rPr>
                <w:rFonts w:hint="eastAsia" w:ascii="宋体" w:hAnsi="宋体" w:cs="宋体"/>
                <w:color w:val="auto"/>
                <w:sz w:val="24"/>
                <w:szCs w:val="24"/>
                <w:lang w:val="en-US" w:eastAsia="zh-CN"/>
              </w:rPr>
              <w:t>吴丹</w:t>
            </w:r>
            <w:r>
              <w:rPr>
                <w:rFonts w:hint="eastAsia" w:ascii="宋体" w:hAnsi="宋体" w:eastAsia="宋体" w:cs="宋体"/>
                <w:color w:val="auto"/>
                <w:sz w:val="24"/>
                <w:szCs w:val="24"/>
                <w:lang w:val="en-US" w:eastAsia="zh-CN"/>
              </w:rPr>
              <w:t>；</w:t>
            </w:r>
          </w:p>
        </w:tc>
        <w:tc>
          <w:tcPr>
            <w:tcW w:w="724" w:type="dxa"/>
            <w:vAlign w:val="top"/>
          </w:tcPr>
          <w:p>
            <w:pPr>
              <w:rPr>
                <w:rFonts w:hint="eastAsia"/>
                <w:lang w:val="en-US" w:eastAsia="zh-CN"/>
              </w:rPr>
            </w:pPr>
          </w:p>
          <w:p>
            <w:pPr>
              <w:pStyle w:val="2"/>
              <w:rPr>
                <w:rFonts w:hint="eastAsia" w:ascii="宋体" w:hAnsi="宋体" w:eastAsia="宋体" w:cs="宋体"/>
                <w:kern w:val="2"/>
                <w:sz w:val="24"/>
                <w:szCs w:val="24"/>
                <w:lang w:val="en-US" w:eastAsia="zh-CN" w:bidi="ar-SA"/>
              </w:rPr>
            </w:pPr>
          </w:p>
          <w:p>
            <w:pPr>
              <w:pStyle w:val="2"/>
              <w:rPr>
                <w:rFonts w:hint="eastAsia" w:ascii="宋体" w:hAnsi="宋体" w:eastAsia="宋体" w:cs="宋体"/>
                <w:kern w:val="2"/>
                <w:sz w:val="24"/>
                <w:szCs w:val="24"/>
                <w:lang w:val="en-US" w:eastAsia="zh-CN" w:bidi="ar-SA"/>
              </w:rPr>
            </w:pPr>
          </w:p>
          <w:p>
            <w:pPr>
              <w:pStyle w:val="2"/>
              <w:rPr>
                <w:rFonts w:hint="eastAsia" w:ascii="宋体" w:hAnsi="宋体" w:eastAsia="宋体" w:cs="宋体"/>
                <w:kern w:val="2"/>
                <w:sz w:val="24"/>
                <w:szCs w:val="24"/>
                <w:lang w:val="en-US" w:eastAsia="zh-CN" w:bidi="ar-SA"/>
              </w:rPr>
            </w:pPr>
          </w:p>
          <w:p>
            <w:pPr>
              <w:pStyle w:val="2"/>
              <w:rPr>
                <w:rFonts w:hint="eastAsia" w:ascii="宋体" w:hAnsi="宋体" w:eastAsia="宋体" w:cs="宋体"/>
                <w:kern w:val="2"/>
                <w:sz w:val="24"/>
                <w:szCs w:val="24"/>
                <w:lang w:val="en-US" w:eastAsia="zh-CN" w:bidi="ar-SA"/>
              </w:rPr>
            </w:pPr>
          </w:p>
          <w:p>
            <w:pPr>
              <w:pStyle w:val="2"/>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0" w:type="auto"/>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不符合和纠正措施</w:t>
            </w:r>
          </w:p>
        </w:tc>
        <w:tc>
          <w:tcPr>
            <w:tcW w:w="0" w:type="auto"/>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10.1</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kern w:val="2"/>
                <w:sz w:val="24"/>
                <w:szCs w:val="24"/>
                <w:lang w:val="en-US" w:eastAsia="zh-CN" w:bidi="ar-SA"/>
              </w:rPr>
            </w:pPr>
          </w:p>
        </w:tc>
        <w:tc>
          <w:tcPr>
            <w:tcW w:w="108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宋体" w:hAnsi="宋体" w:cs="宋体"/>
                <w:color w:val="auto"/>
                <w:sz w:val="24"/>
                <w:szCs w:val="24"/>
                <w:lang w:val="en-US" w:eastAsia="zh-CN"/>
              </w:rPr>
            </w:pPr>
            <w:r>
              <w:rPr>
                <w:rFonts w:hint="eastAsia" w:ascii="宋体" w:hAnsi="宋体" w:eastAsia="宋体" w:cs="宋体"/>
                <w:sz w:val="24"/>
                <w:szCs w:val="24"/>
                <w:lang w:val="en-US" w:eastAsia="zh-CN"/>
              </w:rPr>
              <w:t>编</w:t>
            </w:r>
            <w:r>
              <w:rPr>
                <w:rFonts w:hint="eastAsia" w:ascii="宋体" w:hAnsi="宋体" w:eastAsia="宋体" w:cs="宋体"/>
                <w:color w:val="auto"/>
                <w:sz w:val="24"/>
                <w:szCs w:val="24"/>
                <w:lang w:val="en-US" w:eastAsia="zh-CN"/>
              </w:rPr>
              <w:t>制了《纠正措施和预防措施通知单》包括“不符合采取措施控制并纠正；任何纠正措施的结果</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不符合的原因</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性质和采取的任何后续措施；确定是否存在或是否可能发生类似的不符合；实施任何所需的措施；评审所采取的任何纠正措施的有效性；必要时，对能源管理体系进行变更改</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等内容；</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查内审无不符合项；</w:t>
            </w:r>
          </w:p>
        </w:tc>
        <w:tc>
          <w:tcPr>
            <w:tcW w:w="724" w:type="dxa"/>
            <w:vAlign w:val="top"/>
          </w:tcPr>
          <w:p>
            <w:pPr>
              <w:rPr>
                <w:rFonts w:hint="eastAsia"/>
                <w:lang w:val="en-US" w:eastAsia="zh-CN"/>
              </w:rPr>
            </w:pPr>
          </w:p>
          <w:p>
            <w:pPr>
              <w:pStyle w:val="2"/>
              <w:rPr>
                <w:rFonts w:hint="eastAsia" w:ascii="Times New Roman" w:hAnsi="Times New Roman" w:eastAsia="宋体" w:cs="Times New Roman"/>
                <w:kern w:val="2"/>
                <w:sz w:val="21"/>
                <w:lang w:val="en-US" w:eastAsia="zh-CN" w:bidi="ar-SA"/>
              </w:rPr>
            </w:pPr>
          </w:p>
          <w:p>
            <w:pPr>
              <w:pStyle w:val="2"/>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0" w:type="auto"/>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持续改进</w:t>
            </w:r>
          </w:p>
        </w:tc>
        <w:tc>
          <w:tcPr>
            <w:tcW w:w="0" w:type="auto"/>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10.2</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kern w:val="2"/>
                <w:sz w:val="24"/>
                <w:szCs w:val="24"/>
                <w:lang w:val="en-US" w:eastAsia="zh-CN" w:bidi="ar-SA"/>
              </w:rPr>
            </w:pPr>
          </w:p>
        </w:tc>
        <w:tc>
          <w:tcPr>
            <w:tcW w:w="108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通过对管理评审的审核、确定了组织的能源管理体系的适宜性、充分性和有效性——基本满足标准的要求，组织的持续改进绩效明显；</w:t>
            </w:r>
          </w:p>
        </w:tc>
        <w:tc>
          <w:tcPr>
            <w:tcW w:w="724" w:type="dxa"/>
            <w:vAlign w:val="top"/>
          </w:tcPr>
          <w:p>
            <w:pPr>
              <w:rPr>
                <w:rFonts w:hint="eastAsia"/>
                <w:lang w:val="en-US" w:eastAsia="zh-CN"/>
              </w:rPr>
            </w:pPr>
          </w:p>
          <w:p>
            <w:pPr>
              <w:pStyle w:val="2"/>
              <w:rPr>
                <w:rFonts w:hint="default"/>
                <w:lang w:val="en-US" w:eastAsia="zh-CN"/>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国家/地方监督抽查情况；</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顾客满意、相关方投诉及处理情况；</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验证企业相关资质证明的有效性；</w:t>
            </w:r>
          </w:p>
        </w:tc>
        <w:tc>
          <w:tcPr>
            <w:tcW w:w="0" w:type="auto"/>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p>
        </w:tc>
        <w:tc>
          <w:tcPr>
            <w:tcW w:w="108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国家及地方政府监管部门经常检查、结果基本符合相关要求；</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无相关方投诉情况；</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查组织营业执照和生产许可证有效符合规定；</w:t>
            </w:r>
          </w:p>
        </w:tc>
        <w:tc>
          <w:tcPr>
            <w:tcW w:w="724" w:type="dxa"/>
            <w:vAlign w:val="top"/>
          </w:tcPr>
          <w:p>
            <w:pPr>
              <w:rPr>
                <w:rFonts w:hint="eastAsia"/>
                <w:lang w:val="en-US" w:eastAsia="zh-CN"/>
              </w:rPr>
            </w:pPr>
          </w:p>
          <w:p>
            <w:pPr>
              <w:pStyle w:val="2"/>
              <w:rPr>
                <w:rFonts w:hint="eastAsia" w:ascii="宋体" w:hAnsi="宋体" w:eastAsia="宋体" w:cs="宋体"/>
                <w:kern w:val="2"/>
                <w:sz w:val="24"/>
                <w:szCs w:val="24"/>
                <w:lang w:val="en-US" w:eastAsia="zh-CN" w:bidi="ar-SA"/>
              </w:rPr>
            </w:pPr>
          </w:p>
          <w:p>
            <w:pPr>
              <w:pStyle w:val="2"/>
              <w:rPr>
                <w:rFonts w:hint="eastAsia" w:ascii="宋体" w:hAnsi="宋体" w:eastAsia="宋体" w:cs="宋体"/>
                <w:kern w:val="2"/>
                <w:sz w:val="24"/>
                <w:szCs w:val="24"/>
                <w:lang w:val="en-US" w:eastAsia="zh-CN" w:bidi="ar-SA"/>
              </w:rPr>
            </w:pPr>
          </w:p>
          <w:p>
            <w:pPr>
              <w:pStyle w:val="2"/>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y</w:t>
            </w:r>
            <w:bookmarkStart w:id="0" w:name="_GoBack"/>
            <w:bookmarkEnd w:id="0"/>
          </w:p>
        </w:tc>
      </w:tr>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4"/>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56FB0"/>
    <w:rsid w:val="0A410CAF"/>
    <w:rsid w:val="0D2C7EAD"/>
    <w:rsid w:val="1B855D9F"/>
    <w:rsid w:val="1CA94B5A"/>
    <w:rsid w:val="1F3C37B4"/>
    <w:rsid w:val="253E0417"/>
    <w:rsid w:val="31955A09"/>
    <w:rsid w:val="484F3069"/>
    <w:rsid w:val="546E1833"/>
    <w:rsid w:val="70F96DC2"/>
    <w:rsid w:val="792908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9"/>
    <w:pPr>
      <w:keepNext/>
      <w:keepLines/>
      <w:spacing w:line="360" w:lineRule="auto"/>
      <w:ind w:firstLine="200" w:firstLineChars="200"/>
      <w:outlineLvl w:val="1"/>
    </w:pPr>
    <w:rPr>
      <w:rFonts w:ascii="Cambria" w:hAnsi="Cambria" w:eastAsia="宋体" w:cs="Times New Roman"/>
      <w:b/>
      <w:bCs/>
      <w:sz w:val="24"/>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7"/>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34</TotalTime>
  <ScaleCrop>false</ScaleCrop>
  <LinksUpToDate>false</LinksUpToDate>
  <CharactersWithSpaces>101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2021-05-15T07:22:01Z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C2006D396F8A473592F6D9249C845835</vt:lpwstr>
  </property>
</Properties>
</file>