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pPr w:leftFromText="180" w:rightFromText="180" w:vertAnchor="text" w:horzAnchor="page" w:tblpX="1078" w:tblpY="221"/>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8"/>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788" w:type="dxa"/>
            <w:vAlign w:val="center"/>
          </w:tcPr>
          <w:p>
            <w:pPr>
              <w:rPr>
                <w:rFonts w:hint="eastAsia" w:eastAsia="宋体"/>
                <w:szCs w:val="21"/>
                <w:lang w:val="en-US" w:eastAsia="zh-CN"/>
              </w:rPr>
            </w:pPr>
            <w:r>
              <w:rPr>
                <w:rFonts w:hint="eastAsia"/>
                <w:szCs w:val="21"/>
              </w:rPr>
              <w:t>受审核部门：</w:t>
            </w:r>
            <w:r>
              <w:rPr>
                <w:rFonts w:hint="eastAsia"/>
                <w:szCs w:val="21"/>
                <w:lang w:val="en-US" w:eastAsia="zh-CN"/>
              </w:rPr>
              <w:t>采购</w:t>
            </w:r>
            <w:r>
              <w:rPr>
                <w:rFonts w:hint="eastAsia"/>
                <w:szCs w:val="21"/>
              </w:rPr>
              <w:t>部</w:t>
            </w:r>
            <w:r>
              <w:rPr>
                <w:szCs w:val="21"/>
              </w:rPr>
              <w:t xml:space="preserve">       </w:t>
            </w:r>
            <w:r>
              <w:rPr>
                <w:rFonts w:hint="eastAsia"/>
                <w:szCs w:val="21"/>
              </w:rPr>
              <w:t>主管领导：</w:t>
            </w:r>
            <w:r>
              <w:rPr>
                <w:rFonts w:hint="eastAsia"/>
                <w:szCs w:val="21"/>
                <w:lang w:val="en-US" w:eastAsia="zh-CN"/>
              </w:rPr>
              <w:t>蒋虹</w:t>
            </w:r>
            <w:r>
              <w:rPr>
                <w:szCs w:val="21"/>
              </w:rPr>
              <w:t xml:space="preserve">          </w:t>
            </w:r>
            <w:r>
              <w:rPr>
                <w:rFonts w:hint="eastAsia"/>
                <w:szCs w:val="21"/>
              </w:rPr>
              <w:t>陪同人员：</w:t>
            </w:r>
            <w:r>
              <w:rPr>
                <w:rFonts w:hint="eastAsia"/>
                <w:szCs w:val="21"/>
                <w:lang w:val="en-US" w:eastAsia="zh-CN"/>
              </w:rPr>
              <w:t>张雅娟</w:t>
            </w:r>
          </w:p>
        </w:tc>
        <w:tc>
          <w:tcPr>
            <w:tcW w:w="801"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spacing w:before="120"/>
              <w:rPr>
                <w:rFonts w:hint="default" w:eastAsia="宋体"/>
                <w:szCs w:val="21"/>
                <w:lang w:val="en-US" w:eastAsia="zh-CN"/>
              </w:rPr>
            </w:pPr>
            <w:r>
              <w:rPr>
                <w:rFonts w:hint="eastAsia"/>
                <w:szCs w:val="21"/>
              </w:rPr>
              <w:t>审核员：周涛、</w:t>
            </w:r>
            <w:r>
              <w:rPr>
                <w:rFonts w:hint="eastAsia"/>
                <w:szCs w:val="21"/>
                <w:lang w:val="en-US" w:eastAsia="zh-CN"/>
              </w:rPr>
              <w:t>潘斯贴</w:t>
            </w:r>
            <w:r>
              <w:rPr>
                <w:szCs w:val="21"/>
              </w:rPr>
              <w:t xml:space="preserve">       </w:t>
            </w:r>
            <w:r>
              <w:rPr>
                <w:rFonts w:hint="eastAsia"/>
                <w:szCs w:val="21"/>
              </w:rPr>
              <w:t>审核时间：</w:t>
            </w:r>
            <w:r>
              <w:rPr>
                <w:szCs w:val="21"/>
              </w:rPr>
              <w:t>2021.</w:t>
            </w:r>
            <w:r>
              <w:rPr>
                <w:rFonts w:hint="eastAsia"/>
                <w:szCs w:val="21"/>
                <w:lang w:val="en-US" w:eastAsia="zh-CN"/>
              </w:rPr>
              <w:t>5</w:t>
            </w:r>
            <w:r>
              <w:rPr>
                <w:szCs w:val="21"/>
              </w:rPr>
              <w:t>.</w:t>
            </w:r>
            <w:r>
              <w:rPr>
                <w:rFonts w:hint="eastAsia"/>
                <w:szCs w:val="21"/>
                <w:lang w:val="en-US" w:eastAsia="zh-CN"/>
              </w:rPr>
              <w:t>17</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rPr>
                <w:szCs w:val="21"/>
              </w:rPr>
            </w:pPr>
            <w:r>
              <w:rPr>
                <w:rFonts w:hint="eastAsia"/>
                <w:szCs w:val="21"/>
              </w:rPr>
              <w:t>审核条款：</w:t>
            </w:r>
            <w:r>
              <w:rPr>
                <w:rFonts w:ascii="宋体" w:hAnsi="宋体"/>
                <w:szCs w:val="21"/>
              </w:rPr>
              <w:t xml:space="preserve">5.3 </w:t>
            </w:r>
            <w:r>
              <w:rPr>
                <w:rFonts w:hint="eastAsia" w:ascii="宋体" w:hAnsi="宋体"/>
                <w:szCs w:val="21"/>
              </w:rPr>
              <w:t>组织的岗位、职责和权限、</w:t>
            </w:r>
            <w:r>
              <w:rPr>
                <w:rFonts w:ascii="宋体" w:hAnsi="宋体"/>
                <w:szCs w:val="21"/>
              </w:rPr>
              <w:t xml:space="preserve">6.2 </w:t>
            </w:r>
            <w:r>
              <w:rPr>
                <w:rFonts w:hint="eastAsia" w:ascii="宋体" w:hAnsi="宋体"/>
                <w:szCs w:val="21"/>
              </w:rPr>
              <w:t>目标、能源指及其实现的策划、</w:t>
            </w:r>
            <w:r>
              <w:rPr>
                <w:rFonts w:ascii="宋体" w:hAnsi="宋体"/>
                <w:szCs w:val="21"/>
              </w:rPr>
              <w:t>8.3</w:t>
            </w:r>
            <w:r>
              <w:rPr>
                <w:rFonts w:hint="eastAsia" w:ascii="宋体" w:hAnsi="宋体"/>
                <w:szCs w:val="21"/>
              </w:rPr>
              <w:t>采购、</w:t>
            </w:r>
            <w:r>
              <w:rPr>
                <w:rFonts w:ascii="宋体" w:hAnsi="宋体"/>
                <w:szCs w:val="21"/>
              </w:rPr>
              <w:t xml:space="preserve">10.1 </w:t>
            </w:r>
            <w:r>
              <w:rPr>
                <w:rFonts w:hint="eastAsia" w:ascii="宋体" w:hAnsi="宋体"/>
                <w:szCs w:val="21"/>
              </w:rPr>
              <w:t>不符合与纠正措施</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Cs w:val="21"/>
              </w:rPr>
            </w:pPr>
            <w:r>
              <w:rPr>
                <w:rFonts w:hint="eastAsia" w:ascii="宋体" w:hAnsi="宋体"/>
                <w:szCs w:val="21"/>
              </w:rPr>
              <w:t>组织的岗位、职责和权限、</w:t>
            </w:r>
          </w:p>
        </w:tc>
        <w:tc>
          <w:tcPr>
            <w:tcW w:w="960" w:type="dxa"/>
          </w:tcPr>
          <w:p>
            <w:pPr>
              <w:rPr>
                <w:szCs w:val="21"/>
              </w:rPr>
            </w:pPr>
            <w:r>
              <w:rPr>
                <w:rFonts w:ascii="宋体" w:hAnsi="宋体"/>
                <w:szCs w:val="21"/>
              </w:rPr>
              <w:t xml:space="preserve">5.3 </w:t>
            </w:r>
          </w:p>
        </w:tc>
        <w:tc>
          <w:tcPr>
            <w:tcW w:w="10788" w:type="dxa"/>
          </w:tcPr>
          <w:p>
            <w:pPr>
              <w:rPr>
                <w:szCs w:val="21"/>
              </w:rPr>
            </w:pPr>
            <w:r>
              <w:rPr>
                <w:rFonts w:hint="eastAsia"/>
                <w:szCs w:val="21"/>
              </w:rPr>
              <w:t>负责人：</w:t>
            </w:r>
          </w:p>
          <w:p>
            <w:pPr>
              <w:numPr>
                <w:ilvl w:val="0"/>
                <w:numId w:val="2"/>
              </w:numPr>
              <w:rPr>
                <w:rFonts w:hint="default"/>
                <w:szCs w:val="21"/>
              </w:rPr>
            </w:pPr>
            <w:r>
              <w:rPr>
                <w:rFonts w:hint="eastAsia"/>
                <w:szCs w:val="21"/>
                <w:lang w:eastAsia="zh-CN"/>
              </w:rPr>
              <w:t>采购部</w:t>
            </w:r>
            <w:r>
              <w:rPr>
                <w:rFonts w:hint="eastAsia"/>
                <w:szCs w:val="21"/>
              </w:rPr>
              <w:t>职责：</w:t>
            </w:r>
          </w:p>
          <w:p>
            <w:pPr>
              <w:numPr>
                <w:ilvl w:val="0"/>
                <w:numId w:val="2"/>
              </w:numPr>
              <w:rPr>
                <w:szCs w:val="21"/>
              </w:rPr>
            </w:pPr>
            <w:r>
              <w:rPr>
                <w:rFonts w:hint="eastAsia"/>
                <w:szCs w:val="21"/>
              </w:rPr>
              <w:t>负责设备</w:t>
            </w:r>
            <w:r>
              <w:rPr>
                <w:rFonts w:hint="default"/>
                <w:szCs w:val="21"/>
              </w:rPr>
              <w:t>及配件</w:t>
            </w:r>
            <w:r>
              <w:rPr>
                <w:rFonts w:hint="eastAsia"/>
                <w:szCs w:val="21"/>
              </w:rPr>
              <w:t>的</w:t>
            </w:r>
            <w:r>
              <w:rPr>
                <w:rFonts w:hint="default"/>
                <w:szCs w:val="21"/>
              </w:rPr>
              <w:t>购置</w:t>
            </w:r>
            <w:r>
              <w:rPr>
                <w:rFonts w:hint="eastAsia"/>
                <w:szCs w:val="21"/>
              </w:rPr>
              <w:t>；</w:t>
            </w:r>
          </w:p>
          <w:p>
            <w:pPr>
              <w:numPr>
                <w:ilvl w:val="0"/>
                <w:numId w:val="2"/>
              </w:numPr>
              <w:rPr>
                <w:szCs w:val="21"/>
              </w:rPr>
            </w:pPr>
            <w:r>
              <w:rPr>
                <w:rFonts w:hint="eastAsia"/>
                <w:szCs w:val="21"/>
              </w:rPr>
              <w:t>负责物资的采购工作；</w:t>
            </w:r>
          </w:p>
        </w:tc>
        <w:tc>
          <w:tcPr>
            <w:tcW w:w="801" w:type="dxa"/>
          </w:tcPr>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60" w:type="dxa"/>
          </w:tcPr>
          <w:p>
            <w:pPr>
              <w:rPr>
                <w:szCs w:val="21"/>
              </w:rPr>
            </w:pPr>
            <w:r>
              <w:rPr>
                <w:rFonts w:hint="eastAsia" w:ascii="宋体" w:hAnsi="宋体"/>
                <w:szCs w:val="21"/>
              </w:rPr>
              <w:t>目标、能源指及其实现的策划、</w:t>
            </w:r>
          </w:p>
        </w:tc>
        <w:tc>
          <w:tcPr>
            <w:tcW w:w="960" w:type="dxa"/>
          </w:tcPr>
          <w:p>
            <w:pPr>
              <w:rPr>
                <w:szCs w:val="21"/>
              </w:rPr>
            </w:pPr>
            <w:r>
              <w:rPr>
                <w:rFonts w:ascii="宋体" w:hAnsi="宋体"/>
                <w:szCs w:val="21"/>
              </w:rPr>
              <w:t xml:space="preserve">6.2 </w:t>
            </w:r>
          </w:p>
        </w:tc>
        <w:tc>
          <w:tcPr>
            <w:tcW w:w="10788" w:type="dxa"/>
          </w:tcPr>
          <w:p>
            <w:pPr>
              <w:rPr>
                <w:rFonts w:hint="default" w:eastAsia="宋体"/>
                <w:szCs w:val="21"/>
                <w:lang w:val="en-US" w:eastAsia="zh-CN"/>
              </w:rPr>
            </w:pPr>
            <w:r>
              <w:rPr>
                <w:rFonts w:hint="eastAsia" w:ascii="宋体" w:hAnsi="宋体" w:cs="宋体"/>
                <w:szCs w:val="21"/>
                <w:lang w:val="en-US" w:eastAsia="zh-CN"/>
              </w:rPr>
              <w:t>采购部没有制定本部门的能源目标，执行公司的目标。</w:t>
            </w:r>
          </w:p>
        </w:tc>
        <w:tc>
          <w:tcPr>
            <w:tcW w:w="801" w:type="dxa"/>
          </w:tcPr>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160" w:type="dxa"/>
          </w:tcPr>
          <w:p>
            <w:pPr>
              <w:rPr>
                <w:rFonts w:ascii="宋体"/>
                <w:szCs w:val="21"/>
              </w:rPr>
            </w:pPr>
            <w:r>
              <w:rPr>
                <w:rFonts w:hint="eastAsia" w:ascii="宋体" w:hAnsi="宋体"/>
                <w:szCs w:val="21"/>
              </w:rPr>
              <w:t>采购、</w:t>
            </w:r>
          </w:p>
        </w:tc>
        <w:tc>
          <w:tcPr>
            <w:tcW w:w="960" w:type="dxa"/>
          </w:tcPr>
          <w:p>
            <w:pPr>
              <w:rPr>
                <w:szCs w:val="21"/>
              </w:rPr>
            </w:pPr>
            <w:r>
              <w:rPr>
                <w:rFonts w:ascii="宋体" w:hAnsi="宋体"/>
                <w:szCs w:val="21"/>
              </w:rPr>
              <w:t>8.3</w:t>
            </w:r>
          </w:p>
        </w:tc>
        <w:tc>
          <w:tcPr>
            <w:tcW w:w="10788" w:type="dxa"/>
          </w:tcPr>
          <w:p>
            <w:pPr>
              <w:rPr>
                <w:rFonts w:hint="default"/>
                <w:lang w:val="en-US" w:eastAsia="zh-CN"/>
              </w:rPr>
            </w:pPr>
            <w:r>
              <w:rPr>
                <w:rFonts w:hint="eastAsia"/>
                <w:lang w:val="en-US" w:eastAsia="zh-CN"/>
              </w:rPr>
              <w:t>编制了《采购控制程序》等</w:t>
            </w:r>
          </w:p>
          <w:p>
            <w:pPr>
              <w:rPr>
                <w:rFonts w:hint="eastAsia"/>
                <w:lang w:val="en-US" w:eastAsia="zh-CN"/>
              </w:rPr>
            </w:pPr>
            <w:r>
              <w:rPr>
                <w:rFonts w:hint="eastAsia"/>
                <w:lang w:val="en-US" w:eastAsia="zh-CN"/>
              </w:rPr>
              <w:t>负责公司的原材料照明设备采购，与供应商签订框架合同，根据生产或车间的需要，把需求下达给供应商，提供相应的产品提供采购框架合同：包括相关要求、质量要求等。</w:t>
            </w:r>
          </w:p>
          <w:p>
            <w:pPr>
              <w:rPr>
                <w:rFonts w:hint="eastAsia"/>
                <w:lang w:val="en-US" w:eastAsia="zh-CN"/>
              </w:rPr>
            </w:pPr>
            <w:r>
              <w:rPr>
                <w:rFonts w:hint="eastAsia"/>
                <w:lang w:val="en-US" w:eastAsia="zh-CN"/>
              </w:rPr>
              <w:t>抽查2020年度采购合同：</w:t>
            </w:r>
          </w:p>
          <w:p>
            <w:pPr>
              <w:pStyle w:val="2"/>
              <w:ind w:left="0" w:leftChars="0" w:firstLine="0" w:firstLineChars="0"/>
              <w:rPr>
                <w:rFonts w:hint="default"/>
                <w:lang w:val="en-US" w:eastAsia="zh-CN"/>
              </w:rPr>
            </w:pPr>
            <w:r>
              <w:rPr>
                <w:rFonts w:hint="eastAsia"/>
                <w:lang w:val="en-US" w:eastAsia="zh-CN"/>
              </w:rPr>
              <w:t>抽查供电合同、产品采购合同、机电采购合同各一份。如下：</w:t>
            </w:r>
          </w:p>
          <w:p>
            <w:pPr>
              <w:pStyle w:val="2"/>
              <w:rPr>
                <w:rFonts w:hint="eastAsia"/>
                <w:lang w:val="en-US" w:eastAsia="zh-CN"/>
              </w:rPr>
            </w:pPr>
            <w:r>
              <w:rPr>
                <w:rFonts w:hint="eastAsia"/>
                <w:lang w:val="en-US" w:eastAsia="zh-CN"/>
              </w:rPr>
              <w:drawing>
                <wp:inline distT="0" distB="0" distL="114300" distR="114300">
                  <wp:extent cx="6287135" cy="1673860"/>
                  <wp:effectExtent l="0" t="0" r="12065" b="2540"/>
                  <wp:docPr id="11" name="图片 11" descr="7c1f97879f69eacb3d7c1797662c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c1f97879f69eacb3d7c1797662c8c4"/>
                          <pic:cNvPicPr>
                            <a:picLocks noChangeAspect="1"/>
                          </pic:cNvPicPr>
                        </pic:nvPicPr>
                        <pic:blipFill>
                          <a:blip r:embed="rId6"/>
                          <a:stretch>
                            <a:fillRect/>
                          </a:stretch>
                        </pic:blipFill>
                        <pic:spPr>
                          <a:xfrm>
                            <a:off x="0" y="0"/>
                            <a:ext cx="6287135" cy="167386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4745990" cy="5191760"/>
                  <wp:effectExtent l="0" t="0" r="3810" b="2540"/>
                  <wp:docPr id="12" name="图片 12" descr="fec845089b47a1599251b977c972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ec845089b47a1599251b977c972b2e"/>
                          <pic:cNvPicPr>
                            <a:picLocks noChangeAspect="1"/>
                          </pic:cNvPicPr>
                        </pic:nvPicPr>
                        <pic:blipFill>
                          <a:blip r:embed="rId7"/>
                          <a:stretch>
                            <a:fillRect/>
                          </a:stretch>
                        </pic:blipFill>
                        <pic:spPr>
                          <a:xfrm>
                            <a:off x="0" y="0"/>
                            <a:ext cx="4745990" cy="519176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4855210" cy="5173980"/>
                  <wp:effectExtent l="0" t="0" r="8890" b="7620"/>
                  <wp:docPr id="13" name="图片 13" descr="bf16770c7be1f6d19513bf54b40e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f16770c7be1f6d19513bf54b40e6de"/>
                          <pic:cNvPicPr>
                            <a:picLocks noChangeAspect="1"/>
                          </pic:cNvPicPr>
                        </pic:nvPicPr>
                        <pic:blipFill>
                          <a:blip r:embed="rId8"/>
                          <a:stretch>
                            <a:fillRect/>
                          </a:stretch>
                        </pic:blipFill>
                        <pic:spPr>
                          <a:xfrm>
                            <a:off x="0" y="0"/>
                            <a:ext cx="4855210" cy="5173980"/>
                          </a:xfrm>
                          <a:prstGeom prst="rect">
                            <a:avLst/>
                          </a:prstGeom>
                        </pic:spPr>
                      </pic:pic>
                    </a:graphicData>
                  </a:graphic>
                </wp:inline>
              </w:drawing>
            </w:r>
          </w:p>
          <w:p>
            <w:pPr>
              <w:pStyle w:val="2"/>
              <w:ind w:left="0" w:leftChars="0" w:firstLine="0" w:firstLineChars="0"/>
              <w:rPr>
                <w:rFonts w:hint="eastAsia"/>
                <w:lang w:val="en-US" w:eastAsia="zh-CN"/>
              </w:rPr>
            </w:pPr>
            <w:r>
              <w:rPr>
                <w:rFonts w:hint="eastAsia"/>
                <w:lang w:val="en-US" w:eastAsia="zh-CN"/>
              </w:rPr>
              <w:t xml:space="preserve">  抽查与天逸新能源有限公司签订的用电合同：</w:t>
            </w:r>
          </w:p>
          <w:p>
            <w:pPr>
              <w:pStyle w:val="2"/>
              <w:ind w:left="0" w:leftChars="0" w:firstLine="0" w:firstLineChars="0"/>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4251960" cy="5055235"/>
                  <wp:effectExtent l="0" t="0" r="2540" b="12065"/>
                  <wp:docPr id="14" name="图片 14" descr="6da2b9fa3cf59f6a3384704d43cf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a2b9fa3cf59f6a3384704d43cf7f8"/>
                          <pic:cNvPicPr>
                            <a:picLocks noChangeAspect="1"/>
                          </pic:cNvPicPr>
                        </pic:nvPicPr>
                        <pic:blipFill>
                          <a:blip r:embed="rId9"/>
                          <a:stretch>
                            <a:fillRect/>
                          </a:stretch>
                        </pic:blipFill>
                        <pic:spPr>
                          <a:xfrm>
                            <a:off x="0" y="0"/>
                            <a:ext cx="4251960" cy="5055235"/>
                          </a:xfrm>
                          <a:prstGeom prst="rect">
                            <a:avLst/>
                          </a:prstGeom>
                        </pic:spPr>
                      </pic:pic>
                    </a:graphicData>
                  </a:graphic>
                </wp:inline>
              </w:drawing>
            </w:r>
          </w:p>
          <w:p>
            <w:pPr>
              <w:pStyle w:val="2"/>
              <w:ind w:left="0" w:leftChars="0" w:firstLine="0" w:firstLineChars="0"/>
              <w:rPr>
                <w:rFonts w:hint="default"/>
                <w:lang w:val="en-US" w:eastAsia="zh-CN"/>
              </w:rPr>
            </w:pPr>
            <w:r>
              <w:rPr>
                <w:rFonts w:hint="eastAsia"/>
                <w:lang w:val="en-US" w:eastAsia="zh-CN"/>
              </w:rPr>
              <w:t xml:space="preserve">     </w:t>
            </w:r>
          </w:p>
          <w:p>
            <w:pPr>
              <w:pStyle w:val="3"/>
              <w:rPr>
                <w:rFonts w:hint="default"/>
                <w:lang w:val="en-US" w:eastAsia="zh-CN"/>
              </w:rPr>
            </w:pPr>
            <w:r>
              <w:rPr>
                <w:rFonts w:hint="eastAsia"/>
                <w:lang w:val="en-US" w:eastAsia="zh-CN"/>
              </w:rPr>
              <w:t>抽查采购订单：有质量要求及能源方面的要求。</w:t>
            </w:r>
          </w:p>
          <w:p>
            <w:pPr>
              <w:pStyle w:val="2"/>
              <w:ind w:left="0" w:leftChars="0" w:firstLine="0" w:firstLineChars="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另提供采购电机的采购单，没有发现强制淘汰的设备</w:t>
            </w:r>
            <w:r>
              <w:rPr>
                <w:rFonts w:hint="eastAsia" w:cs="Times New Roman"/>
                <w:kern w:val="2"/>
                <w:sz w:val="21"/>
                <w:szCs w:val="20"/>
                <w:lang w:val="en-US" w:eastAsia="zh-CN" w:bidi="ar-SA"/>
              </w:rPr>
              <w:t>，都是节能设备</w:t>
            </w:r>
            <w:r>
              <w:rPr>
                <w:rFonts w:hint="eastAsia" w:ascii="Times New Roman" w:hAnsi="Times New Roman" w:eastAsia="宋体" w:cs="Times New Roman"/>
                <w:kern w:val="2"/>
                <w:sz w:val="21"/>
                <w:szCs w:val="20"/>
                <w:lang w:val="en-US" w:eastAsia="zh-CN" w:bidi="ar-SA"/>
              </w:rPr>
              <w:t>。</w:t>
            </w:r>
          </w:p>
          <w:p>
            <w:pPr>
              <w:rPr>
                <w:rFonts w:ascii="宋体" w:cs="宋体"/>
                <w:szCs w:val="21"/>
              </w:rPr>
            </w:pPr>
            <w:r>
              <w:rPr>
                <w:rFonts w:hint="eastAsia" w:cs="Times New Roman"/>
                <w:kern w:val="2"/>
                <w:sz w:val="21"/>
                <w:szCs w:val="20"/>
                <w:lang w:val="en-US" w:eastAsia="zh-CN" w:bidi="ar-SA"/>
              </w:rPr>
              <w:t>采购的办公照明、空调设备都是节能的设备。</w:t>
            </w:r>
          </w:p>
        </w:tc>
        <w:tc>
          <w:tcPr>
            <w:tcW w:w="801" w:type="dxa"/>
          </w:tcPr>
          <w:p>
            <w:pPr>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szCs w:val="21"/>
              </w:rPr>
            </w:pPr>
          </w:p>
          <w:p>
            <w:pPr>
              <w:pStyle w:val="2"/>
              <w:rPr>
                <w:rFonts w:hint="eastAsia" w:eastAsia="宋体"/>
                <w:szCs w:val="21"/>
                <w:lang w:val="en-US" w:eastAsia="zh-CN"/>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2160" w:type="dxa"/>
          </w:tcPr>
          <w:p>
            <w:pPr>
              <w:rPr>
                <w:rFonts w:ascii="宋体"/>
                <w:szCs w:val="21"/>
              </w:rPr>
            </w:pPr>
            <w:r>
              <w:rPr>
                <w:rFonts w:hint="eastAsia" w:ascii="宋体" w:hAnsi="宋体"/>
                <w:szCs w:val="21"/>
              </w:rPr>
              <w:t>不符合与纠正措施</w:t>
            </w:r>
          </w:p>
        </w:tc>
        <w:tc>
          <w:tcPr>
            <w:tcW w:w="960" w:type="dxa"/>
          </w:tcPr>
          <w:p>
            <w:pPr>
              <w:rPr>
                <w:szCs w:val="21"/>
              </w:rPr>
            </w:pPr>
            <w:r>
              <w:rPr>
                <w:rFonts w:ascii="宋体" w:hAnsi="宋体"/>
                <w:szCs w:val="21"/>
              </w:rPr>
              <w:t xml:space="preserve">10.1 </w:t>
            </w:r>
          </w:p>
        </w:tc>
        <w:tc>
          <w:tcPr>
            <w:tcW w:w="10788" w:type="dxa"/>
          </w:tcPr>
          <w:p>
            <w:pPr>
              <w:spacing w:line="240" w:lineRule="atLeast"/>
              <w:rPr>
                <w:rFonts w:ascii="宋体" w:cs="宋体"/>
                <w:szCs w:val="21"/>
              </w:rPr>
            </w:pPr>
            <w:r>
              <w:rPr>
                <w:rFonts w:hint="eastAsia" w:ascii="宋体" w:hAnsi="宋体" w:cs="宋体"/>
                <w:szCs w:val="21"/>
              </w:rPr>
              <w:t>编制了《纠正措施和预防措施通知单》包括“不符合采取措施控制并纠正；任何纠正措施的结果、不符合的原因</w:t>
            </w:r>
            <w:r>
              <w:rPr>
                <w:rFonts w:ascii="宋体" w:hAnsi="宋体" w:cs="宋体"/>
                <w:szCs w:val="21"/>
              </w:rPr>
              <w:t xml:space="preserve"> </w:t>
            </w:r>
            <w:r>
              <w:rPr>
                <w:rFonts w:hint="eastAsia" w:ascii="宋体" w:hAnsi="宋体" w:cs="宋体"/>
                <w:szCs w:val="21"/>
              </w:rPr>
              <w:t>性质和采取的任何后续措施；确定是否存在或是否可能发生类似的不符合；实施任何所需的措施；评审所采取的任何纠正措施的有效性；必要时，对能源管理体系进行变更改、”等内容；</w:t>
            </w:r>
          </w:p>
          <w:p>
            <w:pPr>
              <w:spacing w:line="240" w:lineRule="atLeast"/>
              <w:rPr>
                <w:rFonts w:ascii="宋体" w:cs="宋体"/>
                <w:szCs w:val="21"/>
              </w:rPr>
            </w:pPr>
          </w:p>
          <w:p>
            <w:pPr>
              <w:rPr>
                <w:szCs w:val="21"/>
              </w:rPr>
            </w:pPr>
            <w:r>
              <w:rPr>
                <w:rFonts w:hint="eastAsia" w:ascii="宋体" w:hAnsi="宋体" w:cs="宋体"/>
                <w:szCs w:val="21"/>
              </w:rPr>
              <w:t>查内审无不符合项；</w:t>
            </w:r>
          </w:p>
        </w:tc>
        <w:tc>
          <w:tcPr>
            <w:tcW w:w="801" w:type="dxa"/>
          </w:tcPr>
          <w:p>
            <w:pPr>
              <w:rPr>
                <w:szCs w:val="21"/>
              </w:rPr>
            </w:pPr>
            <w:r>
              <w:rPr>
                <w:szCs w:val="21"/>
              </w:rPr>
              <w:t>y</w:t>
            </w:r>
          </w:p>
        </w:tc>
      </w:tr>
    </w:tbl>
    <w:p>
      <w:pPr>
        <w:pStyle w:val="8"/>
      </w:pPr>
    </w:p>
    <w:p>
      <w:pPr>
        <w:pStyle w:val="8"/>
      </w:pPr>
    </w:p>
    <w:p>
      <w:pPr>
        <w:pStyle w:val="8"/>
      </w:pPr>
    </w:p>
    <w:p>
      <w:pPr>
        <w:pStyle w:val="8"/>
      </w:pPr>
    </w:p>
    <w:p>
      <w:pPr>
        <w:pStyle w:val="8"/>
      </w:pPr>
    </w:p>
    <w:p>
      <w:pPr>
        <w:pStyle w:val="8"/>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生产部         </w:t>
            </w:r>
            <w:r>
              <w:rPr>
                <w:rFonts w:hint="eastAsia"/>
                <w:sz w:val="24"/>
                <w:szCs w:val="24"/>
              </w:rPr>
              <w:t>主管领导：</w:t>
            </w:r>
            <w:r>
              <w:rPr>
                <w:rFonts w:hint="eastAsia"/>
                <w:sz w:val="24"/>
                <w:szCs w:val="24"/>
                <w:lang w:val="en-US" w:eastAsia="zh-CN"/>
              </w:rPr>
              <w:t xml:space="preserve">周建明        </w:t>
            </w:r>
            <w:r>
              <w:rPr>
                <w:rFonts w:hint="eastAsia"/>
                <w:sz w:val="24"/>
                <w:szCs w:val="24"/>
              </w:rPr>
              <w:t>陪同人员：</w:t>
            </w:r>
            <w:r>
              <w:rPr>
                <w:rFonts w:hint="eastAsia"/>
                <w:sz w:val="24"/>
                <w:szCs w:val="24"/>
                <w:lang w:val="en-US" w:eastAsia="zh-CN"/>
              </w:rPr>
              <w:t>张雅娟</w:t>
            </w:r>
          </w:p>
        </w:tc>
        <w:tc>
          <w:tcPr>
            <w:tcW w:w="83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Merge w:val="continue"/>
            <w:vAlign w:val="center"/>
          </w:tcPr>
          <w:p/>
        </w:tc>
        <w:tc>
          <w:tcPr>
            <w:tcW w:w="960" w:type="dxa"/>
            <w:vMerge w:val="continue"/>
            <w:vAlign w:val="center"/>
          </w:tcPr>
          <w:p/>
        </w:tc>
        <w:tc>
          <w:tcPr>
            <w:tcW w:w="10754"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周涛</w:t>
            </w:r>
            <w:r>
              <w:rPr>
                <w:rFonts w:hint="eastAsia" w:cs="Times New Roman"/>
                <w:sz w:val="24"/>
                <w:szCs w:val="24"/>
                <w:lang w:val="en-US" w:eastAsia="zh-CN"/>
              </w:rPr>
              <w:t>、潘斯贴</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审核时间：</w:t>
            </w:r>
            <w:r>
              <w:rPr>
                <w:rFonts w:hint="eastAsia" w:ascii="Times New Roman" w:hAnsi="Times New Roman" w:eastAsia="宋体" w:cs="Times New Roman"/>
                <w:sz w:val="24"/>
                <w:szCs w:val="24"/>
                <w:lang w:val="en-US" w:eastAsia="zh-CN"/>
              </w:rPr>
              <w:t>2021.</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16</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54"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审核条款：5.3 组织的岗位、职责和权限、6.2 目标、能源指及其实现的策划、6.3 能源评审、6.4 能源绩效参数、6.5 能源基准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6.6 采集能源数据的策划、</w:t>
            </w:r>
            <w:r>
              <w:rPr>
                <w:rFonts w:hint="eastAsia" w:ascii="Times New Roman" w:hAnsi="Times New Roman" w:eastAsia="宋体" w:cs="Times New Roman"/>
                <w:sz w:val="24"/>
                <w:szCs w:val="24"/>
                <w:lang w:val="en-US" w:eastAsia="zh-CN"/>
              </w:rPr>
              <w:t>7.4沟通交流、</w:t>
            </w:r>
            <w:r>
              <w:rPr>
                <w:rFonts w:hint="eastAsia" w:ascii="Times New Roman" w:hAnsi="Times New Roman" w:eastAsia="宋体" w:cs="Times New Roman"/>
                <w:sz w:val="24"/>
                <w:szCs w:val="24"/>
              </w:rPr>
              <w:t>8.1 运行的策划和控制、</w:t>
            </w:r>
            <w:r>
              <w:rPr>
                <w:rFonts w:hint="eastAsia" w:cs="Times New Roman"/>
                <w:sz w:val="24"/>
                <w:szCs w:val="24"/>
                <w:lang w:val="en-US" w:eastAsia="zh-CN"/>
              </w:rPr>
              <w:t>10.1不符合和纠正措施、</w:t>
            </w:r>
            <w:r>
              <w:rPr>
                <w:rFonts w:hint="eastAsia" w:ascii="Times New Roman" w:hAnsi="Times New Roman" w:eastAsia="宋体" w:cs="Times New Roman"/>
                <w:sz w:val="24"/>
                <w:szCs w:val="24"/>
              </w:rPr>
              <w:t>10.2 持续改进</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szCs w:val="21"/>
              </w:rPr>
              <w:t>5.3 组织的岗位、职责和权限、</w:t>
            </w:r>
          </w:p>
        </w:tc>
        <w:tc>
          <w:tcPr>
            <w:tcW w:w="960" w:type="dxa"/>
          </w:tcPr>
          <w:p>
            <w:pPr>
              <w:rPr>
                <w:rFonts w:hint="default" w:eastAsia="宋体"/>
                <w:lang w:val="en-US" w:eastAsia="zh-CN"/>
              </w:rPr>
            </w:pPr>
            <w:r>
              <w:rPr>
                <w:rFonts w:hint="eastAsia"/>
                <w:lang w:val="en-US" w:eastAsia="zh-CN"/>
              </w:rPr>
              <w:t>En5.3</w:t>
            </w:r>
          </w:p>
        </w:tc>
        <w:tc>
          <w:tcPr>
            <w:tcW w:w="10754" w:type="dxa"/>
          </w:tcPr>
          <w:p>
            <w:pP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生产部职责：</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合理</w:t>
            </w:r>
            <w:r>
              <w:rPr>
                <w:rFonts w:hint="eastAsia" w:ascii="Times New Roman" w:hAnsi="Times New Roman" w:eastAsia="宋体" w:cs="Times New Roman"/>
                <w:sz w:val="24"/>
                <w:szCs w:val="24"/>
                <w:lang w:val="en-US" w:eastAsia="zh-CN"/>
              </w:rPr>
              <w:t>安排</w:t>
            </w:r>
            <w:r>
              <w:rPr>
                <w:rFonts w:hint="eastAsia" w:ascii="Times New Roman" w:hAnsi="Times New Roman" w:eastAsia="宋体" w:cs="Times New Roman"/>
                <w:sz w:val="24"/>
                <w:szCs w:val="24"/>
              </w:rPr>
              <w:t>生产调度，努力降低能源消耗和损失，提高能源利用率。</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负责提供</w:t>
            </w:r>
            <w:r>
              <w:rPr>
                <w:rFonts w:hint="eastAsia" w:ascii="Times New Roman" w:hAnsi="Times New Roman" w:eastAsia="宋体" w:cs="Times New Roman"/>
                <w:sz w:val="24"/>
                <w:szCs w:val="24"/>
                <w:lang w:val="en-US" w:eastAsia="zh-CN"/>
              </w:rPr>
              <w:t>能源</w:t>
            </w:r>
            <w:r>
              <w:rPr>
                <w:rFonts w:hint="eastAsia" w:ascii="Times New Roman" w:hAnsi="Times New Roman" w:eastAsia="宋体" w:cs="Times New Roman"/>
                <w:sz w:val="24"/>
                <w:szCs w:val="24"/>
              </w:rPr>
              <w:t>基础设施和工作环境。</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负责能源</w:t>
            </w:r>
            <w:r>
              <w:rPr>
                <w:rFonts w:hint="eastAsia" w:ascii="Times New Roman" w:hAnsi="Times New Roman" w:eastAsia="宋体" w:cs="Times New Roman"/>
                <w:sz w:val="24"/>
                <w:szCs w:val="24"/>
                <w:lang w:val="en-US" w:eastAsia="zh-CN"/>
              </w:rPr>
              <w:t>体系要求的设备正常</w:t>
            </w:r>
            <w:r>
              <w:rPr>
                <w:rFonts w:hint="eastAsia" w:ascii="Times New Roman" w:hAnsi="Times New Roman" w:eastAsia="宋体" w:cs="Times New Roman"/>
                <w:sz w:val="24"/>
                <w:szCs w:val="24"/>
              </w:rPr>
              <w:t>运行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做好生产过程的能源控制和对能源过程能力的确认。</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4、能源数据的收集整理上报等</w:t>
            </w:r>
            <w:r>
              <w:rPr>
                <w:rFonts w:hint="eastAsia" w:ascii="Times New Roman" w:hAnsi="Times New Roman" w:eastAsia="宋体" w:cs="Times New Roman"/>
                <w:sz w:val="24"/>
                <w:szCs w:val="24"/>
              </w:rPr>
              <w:t>统计工作。</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5、参与能源</w:t>
            </w:r>
            <w:r>
              <w:rPr>
                <w:rFonts w:hint="eastAsia" w:ascii="Times New Roman" w:hAnsi="Times New Roman" w:eastAsia="宋体" w:cs="Times New Roman"/>
                <w:sz w:val="24"/>
                <w:szCs w:val="24"/>
              </w:rPr>
              <w:t>应急预案的编制和落实工作。</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经现场查询相关人员，都明确各自的职责。</w:t>
            </w:r>
          </w:p>
        </w:tc>
        <w:tc>
          <w:tcPr>
            <w:tcW w:w="835" w:type="dxa"/>
          </w:tc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60" w:type="dxa"/>
          </w:tcPr>
          <w:p>
            <w:r>
              <w:rPr>
                <w:rFonts w:hint="eastAsia" w:ascii="宋体" w:hAnsi="宋体"/>
                <w:szCs w:val="21"/>
              </w:rPr>
              <w:t>6.2 目标、能源</w:t>
            </w:r>
            <w:r>
              <w:rPr>
                <w:rFonts w:hint="eastAsia" w:ascii="宋体" w:hAnsi="宋体"/>
                <w:szCs w:val="21"/>
                <w:lang w:val="en-US" w:eastAsia="zh-CN"/>
              </w:rPr>
              <w:t>指标</w:t>
            </w:r>
            <w:r>
              <w:rPr>
                <w:rFonts w:hint="eastAsia" w:ascii="宋体" w:hAnsi="宋体"/>
                <w:szCs w:val="21"/>
              </w:rPr>
              <w:t>及其实现的策划、</w:t>
            </w:r>
          </w:p>
        </w:tc>
        <w:tc>
          <w:tcPr>
            <w:tcW w:w="960" w:type="dxa"/>
          </w:tcPr>
          <w:p>
            <w:pPr>
              <w:pStyle w:val="2"/>
              <w:ind w:left="0" w:leftChars="0" w:firstLine="0" w:firstLineChars="0"/>
              <w:rPr>
                <w:rFonts w:hint="default" w:eastAsia="宋体"/>
                <w:lang w:val="en-US" w:eastAsia="zh-CN"/>
              </w:rPr>
            </w:pPr>
            <w:r>
              <w:rPr>
                <w:rFonts w:hint="eastAsia"/>
                <w:lang w:val="en-US" w:eastAsia="zh-CN"/>
              </w:rPr>
              <w:t>En6.2</w:t>
            </w:r>
          </w:p>
        </w:tc>
        <w:tc>
          <w:tcPr>
            <w:tcW w:w="10754" w:type="dxa"/>
            <w:vAlign w:val="top"/>
          </w:tcPr>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2020年、2021年</w:t>
            </w:r>
            <w:r>
              <w:rPr>
                <w:rFonts w:hint="eastAsia" w:ascii="Times New Roman" w:hAnsi="Times New Roman" w:eastAsia="宋体" w:cs="Times New Roman"/>
                <w:sz w:val="24"/>
                <w:szCs w:val="24"/>
                <w:lang w:val="en-US" w:eastAsia="zh-CN"/>
              </w:rPr>
              <w:t>公司的能源目标为：万元产值综合能耗≦6.93kgce/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2020年能源目标完成情况为：6.79kgce/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2021年1-4月份能源目标完成情况为：</w:t>
            </w:r>
            <w:r>
              <w:rPr>
                <w:rFonts w:hint="eastAsia" w:cs="Times New Roman"/>
                <w:sz w:val="24"/>
                <w:szCs w:val="24"/>
                <w:lang w:val="en-US" w:eastAsia="zh-CN"/>
              </w:rPr>
              <w:t>8.60</w:t>
            </w:r>
            <w:r>
              <w:rPr>
                <w:rFonts w:hint="eastAsia" w:ascii="Times New Roman" w:hAnsi="Times New Roman" w:eastAsia="宋体" w:cs="Times New Roman"/>
                <w:sz w:val="24"/>
                <w:szCs w:val="24"/>
                <w:lang w:val="en-US" w:eastAsia="zh-CN"/>
              </w:rPr>
              <w:t>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2021年1-4月份能源</w:t>
            </w:r>
            <w:r>
              <w:rPr>
                <w:rFonts w:hint="eastAsia" w:cs="Times New Roman"/>
                <w:sz w:val="24"/>
                <w:szCs w:val="24"/>
                <w:lang w:val="en-US" w:eastAsia="zh-CN"/>
              </w:rPr>
              <w:t>超标</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没有对超目标进行原因分析及制定纠正措施。（不符合项开在10.1）</w:t>
            </w:r>
          </w:p>
        </w:tc>
        <w:tc>
          <w:tcPr>
            <w:tcW w:w="835" w:type="dxa"/>
            <w:vAlign w:val="top"/>
          </w:tcPr>
          <w:p>
            <w:pPr>
              <w:pStyle w:val="2"/>
              <w:ind w:left="0" w:leftChars="0" w:firstLine="0" w:firstLineChars="0"/>
              <w:rPr>
                <w:rFonts w:hint="default"/>
                <w:lang w:val="en-US" w:eastAsia="zh-CN"/>
              </w:rPr>
            </w:pPr>
          </w:p>
          <w:p>
            <w:pPr>
              <w:pStyle w:val="2"/>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r>
              <w:rPr>
                <w:rFonts w:hint="eastAsia" w:ascii="宋体" w:hAnsi="宋体"/>
                <w:szCs w:val="21"/>
              </w:rPr>
              <w:t>6.3 能源评审、</w:t>
            </w:r>
          </w:p>
        </w:tc>
        <w:tc>
          <w:tcPr>
            <w:tcW w:w="960" w:type="dxa"/>
          </w:tcPr>
          <w:p/>
          <w:p>
            <w:pPr>
              <w:pStyle w:val="2"/>
            </w:pPr>
          </w:p>
          <w:p>
            <w:pPr>
              <w:pStyle w:val="2"/>
            </w:pPr>
          </w:p>
          <w:p>
            <w:pPr>
              <w:pStyle w:val="2"/>
              <w:ind w:left="0" w:leftChars="0" w:firstLine="0" w:firstLineChars="0"/>
            </w:pPr>
            <w:r>
              <w:rPr>
                <w:rFonts w:hint="eastAsia" w:ascii="宋体" w:hAnsi="宋体"/>
                <w:szCs w:val="21"/>
                <w:lang w:val="en-US" w:eastAsia="zh-CN"/>
              </w:rPr>
              <w:t>En：</w:t>
            </w:r>
            <w:r>
              <w:rPr>
                <w:rFonts w:hint="eastAsia" w:ascii="宋体" w:hAnsi="宋体"/>
                <w:szCs w:val="21"/>
              </w:rPr>
              <w:t xml:space="preserve">6.3 </w:t>
            </w: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领导小组组长：</w:t>
            </w:r>
            <w:r>
              <w:rPr>
                <w:rFonts w:hint="eastAsia" w:cs="Times New Roman"/>
                <w:sz w:val="24"/>
                <w:szCs w:val="24"/>
                <w:lang w:val="en-US" w:eastAsia="zh-CN"/>
              </w:rPr>
              <w:t>吴丹</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副组长：</w:t>
            </w:r>
            <w:r>
              <w:rPr>
                <w:rFonts w:hint="eastAsia" w:cs="Times New Roman"/>
                <w:sz w:val="24"/>
                <w:szCs w:val="24"/>
                <w:lang w:val="en-US" w:eastAsia="zh-CN"/>
              </w:rPr>
              <w:t>张雅娟</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成员：</w:t>
            </w:r>
            <w:r>
              <w:rPr>
                <w:rFonts w:hint="eastAsia" w:cs="Times New Roman"/>
                <w:sz w:val="24"/>
                <w:szCs w:val="24"/>
                <w:lang w:val="en-US" w:eastAsia="zh-CN"/>
              </w:rPr>
              <w:t>吴国勇</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张雅娟</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周建明</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方美珠、戴树海</w:t>
            </w:r>
            <w:r>
              <w:rPr>
                <w:rFonts w:hint="eastAsia" w:ascii="Times New Roman" w:hAnsi="Times New Roman" w:eastAsia="宋体" w:cs="Times New Roman"/>
                <w:sz w:val="24"/>
                <w:szCs w:val="24"/>
                <w:lang w:val="en-US" w:eastAsia="zh-CN"/>
              </w:rPr>
              <w:t>。</w:t>
            </w:r>
          </w:p>
          <w:p>
            <w:pPr>
              <w:rPr>
                <w:rFonts w:hint="eastAsia" w:ascii="Times New Roman" w:hAnsi="Times New Roman" w:eastAsia="宋体" w:cs="Times New Roman"/>
                <w:sz w:val="24"/>
                <w:szCs w:val="24"/>
                <w:lang w:val="en-US" w:eastAsia="zh-CN"/>
              </w:rPr>
            </w:pPr>
            <w:bookmarkStart w:id="0" w:name="_Toc256000008"/>
            <w:bookmarkStart w:id="1" w:name="_Toc408997211"/>
            <w:bookmarkStart w:id="2" w:name="_Toc430015557"/>
            <w:r>
              <w:rPr>
                <w:rFonts w:hint="eastAsia" w:ascii="Times New Roman" w:hAnsi="Times New Roman" w:eastAsia="宋体" w:cs="Times New Roman"/>
                <w:sz w:val="24"/>
                <w:szCs w:val="24"/>
                <w:lang w:val="en-US" w:eastAsia="zh-CN"/>
              </w:rPr>
              <w:t>三、企业能源管理现状</w:t>
            </w:r>
            <w:bookmarkEnd w:id="0"/>
            <w:bookmarkEnd w:id="1"/>
            <w:bookmarkEnd w:id="2"/>
          </w:p>
          <w:p>
            <w:pPr>
              <w:rPr>
                <w:rFonts w:hint="eastAsia" w:ascii="Times New Roman" w:hAnsi="Times New Roman" w:eastAsia="宋体" w:cs="Times New Roman"/>
                <w:sz w:val="24"/>
                <w:szCs w:val="24"/>
                <w:lang w:val="en-US" w:eastAsia="zh-CN"/>
              </w:rPr>
            </w:pPr>
            <w:bookmarkStart w:id="3" w:name="_Toc430015558"/>
            <w:bookmarkStart w:id="4" w:name="_Toc256000009"/>
            <w:bookmarkStart w:id="5" w:name="_Toc408997212"/>
            <w:r>
              <w:rPr>
                <w:rFonts w:hint="eastAsia" w:ascii="Times New Roman" w:hAnsi="Times New Roman" w:eastAsia="宋体" w:cs="Times New Roman"/>
                <w:sz w:val="24"/>
                <w:szCs w:val="24"/>
                <w:lang w:val="en-US" w:eastAsia="zh-CN"/>
              </w:rPr>
              <w:t>（一）能源种类及来源</w:t>
            </w:r>
            <w:bookmarkEnd w:id="3"/>
            <w:bookmarkEnd w:id="4"/>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公司消耗的能源主要是电力。</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bookmarkStart w:id="6" w:name="_Toc256000010"/>
            <w:bookmarkStart w:id="7" w:name="_Toc430015559"/>
            <w:r>
              <w:rPr>
                <w:rFonts w:hint="eastAsia" w:ascii="Times New Roman" w:hAnsi="Times New Roman" w:eastAsia="宋体" w:cs="Times New Roman"/>
                <w:sz w:val="24"/>
                <w:szCs w:val="24"/>
                <w:lang w:val="en-US" w:eastAsia="zh-CN"/>
              </w:rPr>
              <w:t>（二）生产工艺流程</w:t>
            </w:r>
            <w:bookmarkEnd w:id="6"/>
            <w:bookmarkEnd w:id="7"/>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公司有生产车间。</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公司以</w:t>
            </w:r>
            <w:r>
              <w:rPr>
                <w:rFonts w:hint="eastAsia" w:cs="Times New Roman"/>
                <w:sz w:val="24"/>
                <w:szCs w:val="24"/>
                <w:lang w:val="en-US" w:eastAsia="zh-CN"/>
              </w:rPr>
              <w:t>钢管、复合板、木板、皮革或布比</w:t>
            </w:r>
            <w:r>
              <w:rPr>
                <w:rFonts w:hint="eastAsia" w:ascii="Times New Roman" w:hAnsi="Times New Roman" w:eastAsia="宋体" w:cs="Times New Roman"/>
                <w:sz w:val="24"/>
                <w:szCs w:val="24"/>
                <w:lang w:val="en-US" w:eastAsia="zh-CN"/>
              </w:rPr>
              <w:t>为主要原料，产品为</w:t>
            </w:r>
            <w:r>
              <w:rPr>
                <w:rFonts w:hint="eastAsia" w:cs="Times New Roman"/>
                <w:sz w:val="24"/>
                <w:szCs w:val="24"/>
                <w:lang w:val="en-US" w:eastAsia="zh-CN"/>
              </w:rPr>
              <w:t>各种家具</w:t>
            </w:r>
            <w:r>
              <w:rPr>
                <w:rFonts w:hint="eastAsia" w:ascii="Times New Roman" w:hAnsi="Times New Roman" w:eastAsia="宋体" w:cs="Times New Roman"/>
                <w:sz w:val="24"/>
                <w:szCs w:val="24"/>
                <w:lang w:val="en-US" w:eastAsia="zh-CN"/>
              </w:rPr>
              <w:t>。</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具体的工艺流程如图所示：</w:t>
            </w:r>
          </w:p>
          <w:p>
            <w:pPr>
              <w:rPr>
                <w:rFonts w:hint="eastAsia" w:ascii="Times New Roman" w:hAnsi="Times New Roman" w:eastAsia="宋体" w:cs="Times New Roman"/>
                <w:sz w:val="24"/>
                <w:szCs w:val="24"/>
                <w:lang w:val="en-US" w:eastAsia="zh-CN"/>
              </w:rPr>
            </w:pPr>
            <w:bookmarkStart w:id="8" w:name="_Toc256000011"/>
            <w:bookmarkStart w:id="9" w:name="_Toc430015560"/>
            <w:r>
              <w:drawing>
                <wp:inline distT="0" distB="0" distL="114300" distR="114300">
                  <wp:extent cx="5080000" cy="30099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080000" cy="3009900"/>
                          </a:xfrm>
                          <a:prstGeom prst="rect">
                            <a:avLst/>
                          </a:prstGeom>
                          <a:noFill/>
                          <a:ln>
                            <a:noFill/>
                          </a:ln>
                        </pic:spPr>
                      </pic:pic>
                    </a:graphicData>
                  </a:graphic>
                </wp:inline>
              </w:drawing>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（三）主要耗能设备</w:t>
            </w:r>
            <w:bookmarkEnd w:id="8"/>
            <w:bookmarkEnd w:id="9"/>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公司主要用能设备有滚塑机、喷塑台、冲压折弯机、曲直线封边机、全自动封边机、电焊机等，详见下表。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企业主要耗能设备情况表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01"/>
              <w:gridCol w:w="3772"/>
              <w:gridCol w:w="760"/>
              <w:gridCol w:w="1514"/>
              <w:gridCol w:w="1010"/>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序号</w:t>
                  </w:r>
                </w:p>
              </w:tc>
              <w:tc>
                <w:tcPr>
                  <w:tcW w:w="2361" w:type="pct"/>
                  <w:gridSpan w:val="2"/>
                  <w:noWrap w:val="0"/>
                  <w:vAlign w:val="center"/>
                </w:tcPr>
                <w:p>
                  <w:pPr>
                    <w:jc w:val="center"/>
                    <w:rPr>
                      <w:sz w:val="18"/>
                      <w:szCs w:val="18"/>
                    </w:rPr>
                  </w:pPr>
                  <w:r>
                    <w:rPr>
                      <w:sz w:val="18"/>
                      <w:szCs w:val="18"/>
                    </w:rPr>
                    <w:t>设备名称</w:t>
                  </w:r>
                </w:p>
              </w:tc>
              <w:tc>
                <w:tcPr>
                  <w:tcW w:w="361" w:type="pct"/>
                  <w:noWrap w:val="0"/>
                  <w:vAlign w:val="center"/>
                </w:tcPr>
                <w:p>
                  <w:pPr>
                    <w:jc w:val="center"/>
                    <w:rPr>
                      <w:sz w:val="18"/>
                      <w:szCs w:val="18"/>
                    </w:rPr>
                  </w:pPr>
                  <w:r>
                    <w:rPr>
                      <w:sz w:val="18"/>
                      <w:szCs w:val="18"/>
                    </w:rPr>
                    <w:t>单位</w:t>
                  </w:r>
                </w:p>
              </w:tc>
              <w:tc>
                <w:tcPr>
                  <w:tcW w:w="719" w:type="pct"/>
                  <w:noWrap w:val="0"/>
                  <w:vAlign w:val="center"/>
                </w:tcPr>
                <w:p>
                  <w:pPr>
                    <w:jc w:val="center"/>
                    <w:rPr>
                      <w:sz w:val="18"/>
                      <w:szCs w:val="18"/>
                    </w:rPr>
                  </w:pPr>
                  <w:r>
                    <w:rPr>
                      <w:sz w:val="18"/>
                      <w:szCs w:val="18"/>
                    </w:rPr>
                    <w:t>原审批数量</w:t>
                  </w:r>
                </w:p>
              </w:tc>
              <w:tc>
                <w:tcPr>
                  <w:tcW w:w="480" w:type="pct"/>
                  <w:noWrap w:val="0"/>
                  <w:vAlign w:val="center"/>
                </w:tcPr>
                <w:p>
                  <w:pPr>
                    <w:jc w:val="center"/>
                    <w:rPr>
                      <w:sz w:val="18"/>
                      <w:szCs w:val="18"/>
                    </w:rPr>
                  </w:pPr>
                  <w:r>
                    <w:rPr>
                      <w:sz w:val="18"/>
                      <w:szCs w:val="18"/>
                    </w:rPr>
                    <w:t>本项目</w:t>
                  </w:r>
                </w:p>
              </w:tc>
              <w:tc>
                <w:tcPr>
                  <w:tcW w:w="719" w:type="pct"/>
                  <w:noWrap w:val="0"/>
                  <w:vAlign w:val="center"/>
                </w:tcPr>
                <w:p>
                  <w:pPr>
                    <w:jc w:val="center"/>
                    <w:rPr>
                      <w:sz w:val="18"/>
                      <w:szCs w:val="18"/>
                    </w:rPr>
                  </w:pPr>
                  <w:r>
                    <w:rPr>
                      <w:sz w:val="18"/>
                      <w:szCs w:val="18"/>
                    </w:rPr>
                    <w:t>项目实施后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61" w:type="pct"/>
                  <w:noWrap w:val="0"/>
                  <w:vAlign w:val="center"/>
                </w:tcPr>
                <w:p>
                  <w:pPr>
                    <w:jc w:val="center"/>
                    <w:rPr>
                      <w:sz w:val="18"/>
                      <w:szCs w:val="18"/>
                    </w:rPr>
                  </w:pPr>
                  <w:r>
                    <w:rPr>
                      <w:sz w:val="18"/>
                      <w:szCs w:val="18"/>
                    </w:rPr>
                    <w:t>1</w:t>
                  </w:r>
                </w:p>
              </w:tc>
              <w:tc>
                <w:tcPr>
                  <w:tcW w:w="570" w:type="pct"/>
                  <w:vMerge w:val="restart"/>
                  <w:noWrap w:val="0"/>
                  <w:vAlign w:val="center"/>
                </w:tcPr>
                <w:p>
                  <w:pPr>
                    <w:snapToGrid w:val="0"/>
                    <w:jc w:val="center"/>
                    <w:rPr>
                      <w:color w:val="000000"/>
                      <w:sz w:val="18"/>
                      <w:szCs w:val="18"/>
                    </w:rPr>
                  </w:pPr>
                  <w:r>
                    <w:rPr>
                      <w:color w:val="000000"/>
                      <w:sz w:val="18"/>
                      <w:szCs w:val="18"/>
                    </w:rPr>
                    <w:t>1号厂房</w:t>
                  </w:r>
                </w:p>
              </w:tc>
              <w:tc>
                <w:tcPr>
                  <w:tcW w:w="1791" w:type="pct"/>
                  <w:noWrap w:val="0"/>
                  <w:vAlign w:val="center"/>
                </w:tcPr>
                <w:p>
                  <w:pPr>
                    <w:snapToGrid w:val="0"/>
                    <w:jc w:val="center"/>
                    <w:rPr>
                      <w:color w:val="000000"/>
                      <w:sz w:val="18"/>
                      <w:szCs w:val="18"/>
                    </w:rPr>
                  </w:pPr>
                  <w:r>
                    <w:rPr>
                      <w:color w:val="000000"/>
                      <w:sz w:val="18"/>
                      <w:szCs w:val="18"/>
                    </w:rPr>
                    <w:t>全自动后成型机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多层冷压机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锯片磨刀机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2</w:t>
                  </w:r>
                </w:p>
              </w:tc>
              <w:tc>
                <w:tcPr>
                  <w:tcW w:w="480" w:type="pct"/>
                  <w:noWrap w:val="0"/>
                  <w:vAlign w:val="center"/>
                </w:tcPr>
                <w:p>
                  <w:pPr>
                    <w:snapToGrid w:val="0"/>
                    <w:jc w:val="center"/>
                    <w:rPr>
                      <w:bCs/>
                      <w:color w:val="000000"/>
                      <w:sz w:val="18"/>
                      <w:szCs w:val="18"/>
                    </w:rPr>
                  </w:pPr>
                  <w:r>
                    <w:rPr>
                      <w:bCs/>
                      <w:color w:val="000000"/>
                      <w:sz w:val="18"/>
                      <w:szCs w:val="18"/>
                    </w:rPr>
                    <w:t>-2</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曲直线封边机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全自动封边机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2</w:t>
                  </w:r>
                </w:p>
              </w:tc>
              <w:tc>
                <w:tcPr>
                  <w:tcW w:w="480" w:type="pct"/>
                  <w:noWrap w:val="0"/>
                  <w:vAlign w:val="center"/>
                </w:tcPr>
                <w:p>
                  <w:pPr>
                    <w:snapToGrid w:val="0"/>
                    <w:jc w:val="center"/>
                    <w:rPr>
                      <w:color w:val="000000"/>
                      <w:sz w:val="18"/>
                      <w:szCs w:val="18"/>
                    </w:rPr>
                  </w:pPr>
                  <w:r>
                    <w:rPr>
                      <w:color w:val="000000"/>
                      <w:sz w:val="18"/>
                      <w:szCs w:val="18"/>
                    </w:rPr>
                    <w:t>-2</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五排/六排多轴木工钻床</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2</w:t>
                  </w:r>
                </w:p>
              </w:tc>
              <w:tc>
                <w:tcPr>
                  <w:tcW w:w="480" w:type="pct"/>
                  <w:noWrap w:val="0"/>
                  <w:vAlign w:val="center"/>
                </w:tcPr>
                <w:p>
                  <w:pPr>
                    <w:snapToGrid w:val="0"/>
                    <w:jc w:val="center"/>
                    <w:rPr>
                      <w:bCs/>
                      <w:color w:val="000000"/>
                      <w:sz w:val="18"/>
                      <w:szCs w:val="18"/>
                    </w:rPr>
                  </w:pPr>
                  <w:r>
                    <w:rPr>
                      <w:bCs/>
                      <w:color w:val="000000"/>
                      <w:sz w:val="18"/>
                      <w:szCs w:val="18"/>
                    </w:rPr>
                    <w:t>-2</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单独立铣机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rFonts w:hint="eastAsia"/>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精密推台锯（90度）</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-3</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立轴刨花机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自动送排机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过滤器</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电木铣</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4</w:t>
                  </w:r>
                </w:p>
              </w:tc>
              <w:tc>
                <w:tcPr>
                  <w:tcW w:w="480" w:type="pct"/>
                  <w:noWrap w:val="0"/>
                  <w:vAlign w:val="center"/>
                </w:tcPr>
                <w:p>
                  <w:pPr>
                    <w:snapToGrid w:val="0"/>
                    <w:jc w:val="center"/>
                    <w:rPr>
                      <w:bCs/>
                      <w:color w:val="000000"/>
                      <w:sz w:val="18"/>
                      <w:szCs w:val="18"/>
                    </w:rPr>
                  </w:pPr>
                  <w:r>
                    <w:rPr>
                      <w:bCs/>
                      <w:color w:val="000000"/>
                      <w:sz w:val="18"/>
                      <w:szCs w:val="18"/>
                    </w:rPr>
                    <w:t>-4</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双桶布袋吸尘器</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手动直线拼缝机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cr/>
                  </w: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实木弯曲机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双面震动曲型砂光机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倾斜轴海绵砂光机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bCs/>
                      <w:color w:val="000000"/>
                      <w:sz w:val="18"/>
                      <w:szCs w:val="18"/>
                    </w:rPr>
                  </w:pPr>
                  <w:r>
                    <w:rPr>
                      <w:color w:val="000000"/>
                      <w:sz w:val="18"/>
                      <w:szCs w:val="18"/>
                    </w:rPr>
                    <w:t>电脑裁板机</w:t>
                  </w:r>
                </w:p>
              </w:tc>
              <w:tc>
                <w:tcPr>
                  <w:tcW w:w="361" w:type="pct"/>
                  <w:noWrap w:val="0"/>
                  <w:vAlign w:val="center"/>
                </w:tcPr>
                <w:p>
                  <w:pPr>
                    <w:snapToGrid w:val="0"/>
                    <w:jc w:val="center"/>
                    <w:rPr>
                      <w:color w:val="000000"/>
                      <w:sz w:val="18"/>
                      <w:szCs w:val="18"/>
                    </w:rPr>
                  </w:pPr>
                  <w:r>
                    <w:rPr>
                      <w:color w:val="000000"/>
                      <w:sz w:val="18"/>
                      <w:szCs w:val="18"/>
                    </w:rPr>
                    <w:t>组</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19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自动双头榫眼机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雕刻机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花槽机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分体式喷烤房</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喷枪</w:t>
                  </w:r>
                </w:p>
              </w:tc>
              <w:tc>
                <w:tcPr>
                  <w:tcW w:w="361" w:type="pct"/>
                  <w:noWrap w:val="0"/>
                  <w:vAlign w:val="center"/>
                </w:tcPr>
                <w:p>
                  <w:pPr>
                    <w:snapToGrid w:val="0"/>
                    <w:jc w:val="center"/>
                    <w:rPr>
                      <w:color w:val="000000"/>
                      <w:sz w:val="18"/>
                      <w:szCs w:val="18"/>
                    </w:rPr>
                  </w:pPr>
                  <w:r>
                    <w:rPr>
                      <w:color w:val="000000"/>
                      <w:sz w:val="18"/>
                      <w:szCs w:val="18"/>
                    </w:rPr>
                    <w:t>把</w:t>
                  </w:r>
                </w:p>
              </w:tc>
              <w:tc>
                <w:tcPr>
                  <w:tcW w:w="719" w:type="pct"/>
                  <w:noWrap w:val="0"/>
                  <w:vAlign w:val="center"/>
                </w:tcPr>
                <w:p>
                  <w:pPr>
                    <w:snapToGrid w:val="0"/>
                    <w:jc w:val="center"/>
                    <w:rPr>
                      <w:bCs/>
                      <w:color w:val="000000"/>
                      <w:sz w:val="18"/>
                      <w:szCs w:val="18"/>
                    </w:rPr>
                  </w:pPr>
                  <w:r>
                    <w:rPr>
                      <w:bCs/>
                      <w:color w:val="000000"/>
                      <w:sz w:val="18"/>
                      <w:szCs w:val="18"/>
                    </w:rPr>
                    <w:t>6</w:t>
                  </w:r>
                </w:p>
              </w:tc>
              <w:tc>
                <w:tcPr>
                  <w:tcW w:w="480" w:type="pct"/>
                  <w:noWrap w:val="0"/>
                  <w:vAlign w:val="center"/>
                </w:tcPr>
                <w:p>
                  <w:pPr>
                    <w:snapToGrid w:val="0"/>
                    <w:jc w:val="center"/>
                    <w:rPr>
                      <w:bCs/>
                      <w:color w:val="000000"/>
                      <w:sz w:val="18"/>
                      <w:szCs w:val="18"/>
                    </w:rPr>
                  </w:pPr>
                  <w:r>
                    <w:rPr>
                      <w:bCs/>
                      <w:color w:val="000000"/>
                      <w:sz w:val="18"/>
                      <w:szCs w:val="18"/>
                    </w:rPr>
                    <w:t>-6</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手电钻</w:t>
                  </w:r>
                </w:p>
              </w:tc>
              <w:tc>
                <w:tcPr>
                  <w:tcW w:w="361" w:type="pct"/>
                  <w:noWrap w:val="0"/>
                  <w:vAlign w:val="center"/>
                </w:tcPr>
                <w:p>
                  <w:pPr>
                    <w:snapToGrid w:val="0"/>
                    <w:jc w:val="center"/>
                    <w:rPr>
                      <w:color w:val="000000"/>
                      <w:sz w:val="18"/>
                      <w:szCs w:val="18"/>
                    </w:rPr>
                  </w:pPr>
                  <w:r>
                    <w:rPr>
                      <w:color w:val="000000"/>
                      <w:sz w:val="18"/>
                      <w:szCs w:val="18"/>
                    </w:rPr>
                    <w:t>把</w:t>
                  </w:r>
                </w:p>
              </w:tc>
              <w:tc>
                <w:tcPr>
                  <w:tcW w:w="719" w:type="pct"/>
                  <w:noWrap w:val="0"/>
                  <w:vAlign w:val="center"/>
                </w:tcPr>
                <w:p>
                  <w:pPr>
                    <w:snapToGrid w:val="0"/>
                    <w:jc w:val="center"/>
                    <w:rPr>
                      <w:bCs/>
                      <w:color w:val="000000"/>
                      <w:sz w:val="18"/>
                      <w:szCs w:val="18"/>
                    </w:rPr>
                  </w:pPr>
                  <w:r>
                    <w:rPr>
                      <w:bCs/>
                      <w:color w:val="000000"/>
                      <w:sz w:val="18"/>
                      <w:szCs w:val="18"/>
                    </w:rPr>
                    <w:t>若干</w:t>
                  </w:r>
                </w:p>
              </w:tc>
              <w:tc>
                <w:tcPr>
                  <w:tcW w:w="480" w:type="pct"/>
                  <w:noWrap w:val="0"/>
                  <w:vAlign w:val="center"/>
                </w:tcPr>
                <w:p>
                  <w:pPr>
                    <w:snapToGrid w:val="0"/>
                    <w:jc w:val="center"/>
                    <w:rPr>
                      <w:bCs/>
                      <w:color w:val="000000"/>
                      <w:sz w:val="18"/>
                      <w:szCs w:val="18"/>
                    </w:rPr>
                  </w:pPr>
                  <w:r>
                    <w:rPr>
                      <w:bCs/>
                      <w:color w:val="000000"/>
                      <w:sz w:val="18"/>
                      <w:szCs w:val="18"/>
                    </w:rPr>
                    <w:t>-若干</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气钉枪</w:t>
                  </w:r>
                </w:p>
              </w:tc>
              <w:tc>
                <w:tcPr>
                  <w:tcW w:w="361" w:type="pct"/>
                  <w:noWrap w:val="0"/>
                  <w:vAlign w:val="center"/>
                </w:tcPr>
                <w:p>
                  <w:pPr>
                    <w:snapToGrid w:val="0"/>
                    <w:jc w:val="center"/>
                    <w:rPr>
                      <w:color w:val="000000"/>
                      <w:sz w:val="18"/>
                      <w:szCs w:val="18"/>
                    </w:rPr>
                  </w:pPr>
                  <w:r>
                    <w:rPr>
                      <w:color w:val="000000"/>
                      <w:sz w:val="18"/>
                      <w:szCs w:val="18"/>
                    </w:rPr>
                    <w:t>把</w:t>
                  </w:r>
                </w:p>
              </w:tc>
              <w:tc>
                <w:tcPr>
                  <w:tcW w:w="719" w:type="pct"/>
                  <w:noWrap w:val="0"/>
                  <w:vAlign w:val="center"/>
                </w:tcPr>
                <w:p>
                  <w:pPr>
                    <w:snapToGrid w:val="0"/>
                    <w:jc w:val="center"/>
                    <w:rPr>
                      <w:bCs/>
                      <w:color w:val="000000"/>
                      <w:sz w:val="18"/>
                      <w:szCs w:val="18"/>
                    </w:rPr>
                  </w:pPr>
                  <w:r>
                    <w:rPr>
                      <w:bCs/>
                      <w:color w:val="000000"/>
                      <w:sz w:val="18"/>
                      <w:szCs w:val="18"/>
                    </w:rPr>
                    <w:t>若干</w:t>
                  </w:r>
                </w:p>
              </w:tc>
              <w:tc>
                <w:tcPr>
                  <w:tcW w:w="480" w:type="pct"/>
                  <w:noWrap w:val="0"/>
                  <w:vAlign w:val="center"/>
                </w:tcPr>
                <w:p>
                  <w:pPr>
                    <w:snapToGrid w:val="0"/>
                    <w:jc w:val="center"/>
                    <w:rPr>
                      <w:bCs/>
                      <w:color w:val="000000"/>
                      <w:sz w:val="18"/>
                      <w:szCs w:val="18"/>
                    </w:rPr>
                  </w:pPr>
                  <w:r>
                    <w:rPr>
                      <w:bCs/>
                      <w:color w:val="000000"/>
                      <w:sz w:val="18"/>
                      <w:szCs w:val="18"/>
                    </w:rPr>
                    <w:t>-若干</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曲线切割器</w:t>
                  </w:r>
                </w:p>
              </w:tc>
              <w:tc>
                <w:tcPr>
                  <w:tcW w:w="361" w:type="pct"/>
                  <w:noWrap w:val="0"/>
                  <w:vAlign w:val="center"/>
                </w:tcPr>
                <w:p>
                  <w:pPr>
                    <w:snapToGrid w:val="0"/>
                    <w:jc w:val="center"/>
                    <w:rPr>
                      <w:color w:val="000000"/>
                      <w:sz w:val="18"/>
                      <w:szCs w:val="18"/>
                    </w:rPr>
                  </w:pPr>
                  <w:r>
                    <w:rPr>
                      <w:color w:val="000000"/>
                      <w:sz w:val="18"/>
                      <w:szCs w:val="18"/>
                    </w:rPr>
                    <w:t>把</w:t>
                  </w:r>
                </w:p>
              </w:tc>
              <w:tc>
                <w:tcPr>
                  <w:tcW w:w="719" w:type="pct"/>
                  <w:noWrap w:val="0"/>
                  <w:vAlign w:val="center"/>
                </w:tcPr>
                <w:p>
                  <w:pPr>
                    <w:snapToGrid w:val="0"/>
                    <w:jc w:val="center"/>
                    <w:rPr>
                      <w:bCs/>
                      <w:color w:val="000000"/>
                      <w:sz w:val="18"/>
                      <w:szCs w:val="18"/>
                    </w:rPr>
                  </w:pPr>
                  <w:r>
                    <w:rPr>
                      <w:bCs/>
                      <w:color w:val="000000"/>
                      <w:sz w:val="18"/>
                      <w:szCs w:val="18"/>
                    </w:rPr>
                    <w:t>10</w:t>
                  </w:r>
                </w:p>
              </w:tc>
              <w:tc>
                <w:tcPr>
                  <w:tcW w:w="480" w:type="pct"/>
                  <w:noWrap w:val="0"/>
                  <w:vAlign w:val="center"/>
                </w:tcPr>
                <w:p>
                  <w:pPr>
                    <w:snapToGrid w:val="0"/>
                    <w:jc w:val="center"/>
                    <w:rPr>
                      <w:bCs/>
                      <w:color w:val="000000"/>
                      <w:sz w:val="18"/>
                      <w:szCs w:val="18"/>
                    </w:rPr>
                  </w:pPr>
                  <w:r>
                    <w:rPr>
                      <w:bCs/>
                      <w:color w:val="000000"/>
                      <w:sz w:val="18"/>
                      <w:szCs w:val="18"/>
                    </w:rPr>
                    <w:t>-10</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rFonts w:hint="eastAsia"/>
                      <w:sz w:val="18"/>
                      <w:szCs w:val="18"/>
                    </w:rPr>
                    <w:t>27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轻型四</w:t>
                  </w:r>
                  <w:r>
                    <w:rPr>
                      <w:color w:val="000000"/>
                      <w:sz w:val="18"/>
                      <w:szCs w:val="18"/>
                    </w:rPr>
                    <w:cr/>
                  </w:r>
                  <w:r>
                    <w:rPr>
                      <w:color w:val="000000"/>
                      <w:sz w:val="18"/>
                      <w:szCs w:val="18"/>
                    </w:rPr>
                    <w:t>平压刨木工联合机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-3</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翻转带式砂带机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29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平砂磨光机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-3</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五碟出榫齿接机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color w:val="000000"/>
                      <w:sz w:val="18"/>
                      <w:szCs w:val="18"/>
                    </w:rPr>
                  </w:pPr>
                  <w:r>
                    <w:rPr>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台钻（木工）</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3</w:t>
                  </w:r>
                </w:p>
              </w:tc>
              <w:tc>
                <w:tcPr>
                  <w:tcW w:w="480" w:type="pct"/>
                  <w:noWrap w:val="0"/>
                  <w:vAlign w:val="center"/>
                </w:tcPr>
                <w:p>
                  <w:pPr>
                    <w:snapToGrid w:val="0"/>
                    <w:jc w:val="center"/>
                    <w:rPr>
                      <w:color w:val="000000"/>
                      <w:sz w:val="18"/>
                      <w:szCs w:val="18"/>
                    </w:rPr>
                  </w:pPr>
                  <w:r>
                    <w:rPr>
                      <w:color w:val="000000"/>
                      <w:sz w:val="18"/>
                      <w:szCs w:val="18"/>
                    </w:rPr>
                    <w:t>-3</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361" w:type="pct"/>
                  <w:noWrap w:val="0"/>
                  <w:vAlign w:val="center"/>
                </w:tcPr>
                <w:p>
                  <w:pPr>
                    <w:jc w:val="center"/>
                    <w:rPr>
                      <w:sz w:val="18"/>
                      <w:szCs w:val="18"/>
                    </w:rPr>
                  </w:pPr>
                  <w:r>
                    <w:rPr>
                      <w:sz w:val="18"/>
                      <w:szCs w:val="18"/>
                    </w:rPr>
                    <w:t>32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多</w:t>
                  </w:r>
                  <w:r>
                    <w:rPr>
                      <w:rFonts w:hint="eastAsia"/>
                      <w:color w:val="000000"/>
                      <w:sz w:val="18"/>
                      <w:szCs w:val="18"/>
                    </w:rPr>
                    <w:t>片</w:t>
                  </w:r>
                  <w:r>
                    <w:rPr>
                      <w:color w:val="000000"/>
                      <w:sz w:val="18"/>
                      <w:szCs w:val="18"/>
                    </w:rPr>
                    <w:t>锯</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color w:val="000000"/>
                      <w:sz w:val="18"/>
                      <w:szCs w:val="18"/>
                    </w:rPr>
                  </w:pPr>
                  <w:r>
                    <w:rPr>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四面刨</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color w:val="000000"/>
                      <w:sz w:val="18"/>
                      <w:szCs w:val="18"/>
                    </w:rPr>
                  </w:pPr>
                  <w:r>
                    <w:rPr>
                      <w:color w:val="000000"/>
                      <w:sz w:val="18"/>
                      <w:szCs w:val="18"/>
                    </w:rPr>
                    <w:t>-1</w:t>
                  </w:r>
                </w:p>
              </w:tc>
              <w:tc>
                <w:tcPr>
                  <w:tcW w:w="719" w:type="pct"/>
                  <w:noWrap w:val="0"/>
                  <w:vAlign w:val="center"/>
                </w:tcPr>
                <w:p>
                  <w:pPr>
                    <w:snapToGrid w:val="0"/>
                    <w:jc w:val="center"/>
                    <w:rPr>
                      <w:color w:val="000000"/>
                      <w:sz w:val="18"/>
                      <w:szCs w:val="18"/>
                    </w:rPr>
                  </w:pPr>
                  <w:r>
                    <w:rPr>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34</w:t>
                  </w:r>
                </w:p>
              </w:tc>
              <w:tc>
                <w:tcPr>
                  <w:tcW w:w="570" w:type="pct"/>
                  <w:vMerge w:val="restart"/>
                  <w:noWrap w:val="0"/>
                  <w:vAlign w:val="center"/>
                </w:tcPr>
                <w:p>
                  <w:pPr>
                    <w:snapToGrid w:val="0"/>
                    <w:jc w:val="center"/>
                    <w:rPr>
                      <w:color w:val="000000"/>
                      <w:sz w:val="18"/>
                      <w:szCs w:val="18"/>
                    </w:rPr>
                  </w:pPr>
                  <w:r>
                    <w:rPr>
                      <w:color w:val="000000"/>
                      <w:sz w:val="18"/>
                      <w:szCs w:val="18"/>
                    </w:rPr>
                    <w:t>2号厂房</w:t>
                  </w:r>
                </w:p>
              </w:tc>
              <w:tc>
                <w:tcPr>
                  <w:tcW w:w="1791" w:type="pct"/>
                  <w:noWrap w:val="0"/>
                  <w:vAlign w:val="center"/>
                </w:tcPr>
                <w:p>
                  <w:pPr>
                    <w:snapToGrid w:val="0"/>
                    <w:jc w:val="center"/>
                    <w:rPr>
                      <w:color w:val="000000"/>
                      <w:sz w:val="18"/>
                      <w:szCs w:val="18"/>
                    </w:rPr>
                  </w:pPr>
                  <w:r>
                    <w:rPr>
                      <w:color w:val="000000"/>
                      <w:sz w:val="18"/>
                      <w:szCs w:val="18"/>
                    </w:rPr>
                    <w:t>滚塑机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bCs/>
                      <w:color w:val="000000"/>
                      <w:sz w:val="18"/>
                      <w:szCs w:val="18"/>
                    </w:rPr>
                  </w:pPr>
                  <w:r>
                    <w:rPr>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喷塑台</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bCs/>
                      <w:color w:val="000000"/>
                      <w:sz w:val="18"/>
                      <w:szCs w:val="18"/>
                    </w:rPr>
                  </w:pPr>
                  <w:r>
                    <w:rPr>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弯管机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大弯管机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冲床</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39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冲弧机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2</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探头式二氧化碳</w:t>
                  </w:r>
                  <w:r>
                    <w:rPr>
                      <w:color w:val="000000"/>
                      <w:sz w:val="18"/>
                      <w:szCs w:val="18"/>
                    </w:rPr>
                    <w:cr/>
                  </w:r>
                  <w:r>
                    <w:rPr>
                      <w:color w:val="000000"/>
                      <w:sz w:val="18"/>
                      <w:szCs w:val="18"/>
                    </w:rPr>
                    <w:t>体保护焊机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落地式砂轮机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抛丸机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角磨机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5</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喷粉机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喷粉台</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台式钻床（金工）</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2</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切管机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2</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color w:val="000000"/>
                      <w:sz w:val="18"/>
                      <w:szCs w:val="18"/>
                    </w:rPr>
                  </w:pPr>
                  <w:r>
                    <w:rPr>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油压铣槽机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color w:val="000000"/>
                      <w:sz w:val="18"/>
                      <w:szCs w:val="18"/>
                    </w:rPr>
                  </w:pPr>
                  <w:r>
                    <w:rPr>
                      <w:color w:val="000000"/>
                      <w:sz w:val="18"/>
                      <w:szCs w:val="18"/>
                    </w:rPr>
                    <w:t>-1</w:t>
                  </w:r>
                </w:p>
              </w:tc>
              <w:tc>
                <w:tcPr>
                  <w:tcW w:w="719" w:type="pct"/>
                  <w:noWrap w:val="0"/>
                  <w:vAlign w:val="center"/>
                </w:tcPr>
                <w:p>
                  <w:pPr>
                    <w:snapToGrid w:val="0"/>
                    <w:jc w:val="center"/>
                    <w:rPr>
                      <w:color w:val="000000"/>
                      <w:sz w:val="18"/>
                      <w:szCs w:val="18"/>
                    </w:rPr>
                  </w:pPr>
                  <w:r>
                    <w:rPr>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49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铣槽机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color w:val="000000"/>
                      <w:sz w:val="18"/>
                      <w:szCs w:val="18"/>
                    </w:rPr>
                  </w:pPr>
                  <w:r>
                    <w:rPr>
                      <w:color w:val="000000"/>
                      <w:sz w:val="18"/>
                      <w:szCs w:val="18"/>
                    </w:rPr>
                    <w:t>-1</w:t>
                  </w:r>
                </w:p>
              </w:tc>
              <w:tc>
                <w:tcPr>
                  <w:tcW w:w="719" w:type="pct"/>
                  <w:noWrap w:val="0"/>
                  <w:vAlign w:val="center"/>
                </w:tcPr>
                <w:p>
                  <w:pPr>
                    <w:snapToGrid w:val="0"/>
                    <w:jc w:val="center"/>
                    <w:rPr>
                      <w:color w:val="000000"/>
                      <w:sz w:val="18"/>
                      <w:szCs w:val="18"/>
                    </w:rPr>
                  </w:pPr>
                  <w:r>
                    <w:rPr>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砂光机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color w:val="000000"/>
                      <w:sz w:val="18"/>
                      <w:szCs w:val="18"/>
                    </w:rPr>
                  </w:pPr>
                  <w:r>
                    <w:rPr>
                      <w:color w:val="000000"/>
                      <w:sz w:val="18"/>
                      <w:szCs w:val="18"/>
                    </w:rPr>
                    <w:t>1</w:t>
                  </w:r>
                </w:p>
              </w:tc>
              <w:tc>
                <w:tcPr>
                  <w:tcW w:w="480" w:type="pct"/>
                  <w:noWrap w:val="0"/>
                  <w:vAlign w:val="center"/>
                </w:tcPr>
                <w:p>
                  <w:pPr>
                    <w:snapToGrid w:val="0"/>
                    <w:jc w:val="center"/>
                    <w:rPr>
                      <w:color w:val="000000"/>
                      <w:sz w:val="18"/>
                      <w:szCs w:val="18"/>
                    </w:rPr>
                  </w:pPr>
                  <w:r>
                    <w:rPr>
                      <w:color w:val="000000"/>
                      <w:sz w:val="18"/>
                      <w:szCs w:val="18"/>
                    </w:rPr>
                    <w:t>-1</w:t>
                  </w:r>
                </w:p>
              </w:tc>
              <w:tc>
                <w:tcPr>
                  <w:tcW w:w="719" w:type="pct"/>
                  <w:noWrap w:val="0"/>
                  <w:vAlign w:val="center"/>
                </w:tcPr>
                <w:p>
                  <w:pPr>
                    <w:snapToGrid w:val="0"/>
                    <w:jc w:val="center"/>
                    <w:rPr>
                      <w:color w:val="000000"/>
                      <w:sz w:val="18"/>
                      <w:szCs w:val="18"/>
                    </w:rPr>
                  </w:pPr>
                  <w:r>
                    <w:rPr>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烤箱</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1</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bCs/>
                      <w:color w:val="000000"/>
                      <w:sz w:val="18"/>
                      <w:szCs w:val="18"/>
                    </w:rPr>
                  </w:pPr>
                  <w:r>
                    <w:rPr>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snapToGrid w:val="0"/>
                    <w:jc w:val="center"/>
                    <w:rPr>
                      <w:color w:val="000000"/>
                      <w:sz w:val="18"/>
                      <w:szCs w:val="18"/>
                    </w:rPr>
                  </w:pPr>
                  <w:r>
                    <w:rPr>
                      <w:color w:val="000000"/>
                      <w:sz w:val="18"/>
                      <w:szCs w:val="18"/>
                    </w:rPr>
                    <w:t>起重机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3</w:t>
                  </w:r>
                </w:p>
              </w:tc>
              <w:tc>
                <w:tcPr>
                  <w:tcW w:w="480" w:type="pct"/>
                  <w:noWrap w:val="0"/>
                  <w:vAlign w:val="center"/>
                </w:tcPr>
                <w:p>
                  <w:pPr>
                    <w:snapToGrid w:val="0"/>
                    <w:jc w:val="center"/>
                    <w:rPr>
                      <w:bCs/>
                      <w:color w:val="000000"/>
                      <w:sz w:val="18"/>
                      <w:szCs w:val="18"/>
                    </w:rPr>
                  </w:pPr>
                  <w:r>
                    <w:rPr>
                      <w:bCs/>
                      <w:color w:val="000000"/>
                      <w:sz w:val="18"/>
                      <w:szCs w:val="18"/>
                    </w:rPr>
                    <w:t>0</w:t>
                  </w:r>
                </w:p>
              </w:tc>
              <w:tc>
                <w:tcPr>
                  <w:tcW w:w="719" w:type="pct"/>
                  <w:noWrap w:val="0"/>
                  <w:vAlign w:val="center"/>
                </w:tcPr>
                <w:p>
                  <w:pPr>
                    <w:snapToGrid w:val="0"/>
                    <w:jc w:val="center"/>
                    <w:rPr>
                      <w:bCs/>
                      <w:color w:val="000000"/>
                      <w:sz w:val="18"/>
                      <w:szCs w:val="18"/>
                    </w:rPr>
                  </w:pPr>
                  <w:r>
                    <w:rPr>
                      <w:bCs/>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53</w:t>
                  </w:r>
                </w:p>
              </w:tc>
              <w:tc>
                <w:tcPr>
                  <w:tcW w:w="570" w:type="pct"/>
                  <w:vMerge w:val="restart"/>
                  <w:noWrap w:val="0"/>
                  <w:vAlign w:val="center"/>
                </w:tcPr>
                <w:p>
                  <w:pPr>
                    <w:snapToGrid w:val="0"/>
                    <w:jc w:val="center"/>
                    <w:rPr>
                      <w:color w:val="000000"/>
                      <w:sz w:val="18"/>
                      <w:szCs w:val="18"/>
                    </w:rPr>
                  </w:pPr>
                  <w:r>
                    <w:rPr>
                      <w:color w:val="000000"/>
                      <w:sz w:val="18"/>
                      <w:szCs w:val="18"/>
                    </w:rPr>
                    <w:t>3号厂房</w:t>
                  </w:r>
                </w:p>
              </w:tc>
              <w:tc>
                <w:tcPr>
                  <w:tcW w:w="1791" w:type="pct"/>
                  <w:noWrap w:val="0"/>
                  <w:vAlign w:val="center"/>
                </w:tcPr>
                <w:p>
                  <w:pPr>
                    <w:jc w:val="center"/>
                    <w:rPr>
                      <w:sz w:val="18"/>
                      <w:szCs w:val="18"/>
                    </w:rPr>
                  </w:pPr>
                  <w:r>
                    <w:rPr>
                      <w:sz w:val="18"/>
                      <w:szCs w:val="18"/>
                    </w:rPr>
                    <w:t>电马锯</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rFonts w:hint="eastAsia"/>
                      <w:sz w:val="18"/>
                      <w:szCs w:val="18"/>
                    </w:rPr>
                    <w:t>+</w:t>
                  </w: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双工位开料机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高速封边机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+6</w:t>
                  </w:r>
                </w:p>
              </w:tc>
              <w:tc>
                <w:tcPr>
                  <w:tcW w:w="719" w:type="pct"/>
                  <w:noWrap w:val="0"/>
                  <w:vAlign w:val="center"/>
                </w:tcPr>
                <w:p>
                  <w:pPr>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曲线封边机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双钻包六面钻</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+4</w:t>
                  </w:r>
                </w:p>
              </w:tc>
              <w:tc>
                <w:tcPr>
                  <w:tcW w:w="719" w:type="pct"/>
                  <w:noWrap w:val="0"/>
                  <w:vAlign w:val="center"/>
                </w:tcPr>
                <w:p>
                  <w:pPr>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红外线侧孔机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59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六排钻</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五排钻</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自动封边回转设备</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自动连接封边设备</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推台锯</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+4</w:t>
                  </w:r>
                </w:p>
              </w:tc>
              <w:tc>
                <w:tcPr>
                  <w:tcW w:w="719" w:type="pct"/>
                  <w:noWrap w:val="0"/>
                  <w:vAlign w:val="center"/>
                </w:tcPr>
                <w:p>
                  <w:pPr>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多片开料机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单片开料机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刨料机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压刨机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snapToGrid w:val="0"/>
                    <w:jc w:val="center"/>
                    <w:rPr>
                      <w:bCs/>
                      <w:color w:val="000000"/>
                      <w:sz w:val="18"/>
                      <w:szCs w:val="18"/>
                    </w:rPr>
                  </w:pPr>
                  <w:r>
                    <w:rPr>
                      <w:bCs/>
                      <w:color w:val="000000"/>
                      <w:sz w:val="18"/>
                      <w:szCs w:val="18"/>
                    </w:rPr>
                    <w:t>+2</w:t>
                  </w:r>
                </w:p>
              </w:tc>
              <w:tc>
                <w:tcPr>
                  <w:tcW w:w="719" w:type="pct"/>
                  <w:noWrap w:val="0"/>
                  <w:vAlign w:val="center"/>
                </w:tcPr>
                <w:p>
                  <w:pPr>
                    <w:snapToGrid w:val="0"/>
                    <w:jc w:val="center"/>
                    <w:rPr>
                      <w:bCs/>
                      <w:color w:val="000000"/>
                      <w:sz w:val="18"/>
                      <w:szCs w:val="18"/>
                    </w:rPr>
                  </w:pPr>
                  <w:r>
                    <w:rPr>
                      <w:bCs/>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四面刨</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snapToGrid w:val="0"/>
                    <w:jc w:val="center"/>
                    <w:rPr>
                      <w:bCs/>
                      <w:color w:val="000000"/>
                      <w:sz w:val="18"/>
                      <w:szCs w:val="18"/>
                    </w:rPr>
                  </w:pPr>
                  <w:r>
                    <w:rPr>
                      <w:bCs/>
                      <w:color w:val="000000"/>
                      <w:sz w:val="18"/>
                      <w:szCs w:val="18"/>
                    </w:rPr>
                    <w:t>+1</w:t>
                  </w:r>
                </w:p>
              </w:tc>
              <w:tc>
                <w:tcPr>
                  <w:tcW w:w="719" w:type="pct"/>
                  <w:noWrap w:val="0"/>
                  <w:vAlign w:val="center"/>
                </w:tcPr>
                <w:p>
                  <w:pPr>
                    <w:snapToGrid w:val="0"/>
                    <w:jc w:val="center"/>
                    <w:rPr>
                      <w:bCs/>
                      <w:color w:val="000000"/>
                      <w:sz w:val="18"/>
                      <w:szCs w:val="18"/>
                    </w:rPr>
                  </w:pPr>
                  <w:r>
                    <w:rPr>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69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砂光机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椎头机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71</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推槽机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72</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组装机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73</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倒机</w:t>
                  </w:r>
                </w:p>
              </w:tc>
              <w:tc>
                <w:tcPr>
                  <w:tcW w:w="361" w:type="pct"/>
                  <w:noWrap w:val="0"/>
                  <w:vAlign w:val="center"/>
                </w:tcPr>
                <w:p>
                  <w:pPr>
                    <w:snapToGrid w:val="0"/>
                    <w:jc w:val="center"/>
                    <w:rPr>
                      <w:color w:val="000000"/>
                      <w:sz w:val="18"/>
                      <w:szCs w:val="18"/>
                    </w:rPr>
                  </w:pPr>
                  <w:r>
                    <w:rPr>
                      <w:color w:val="000000"/>
                      <w:sz w:val="18"/>
                      <w:szCs w:val="18"/>
                    </w:rPr>
                    <w:t>台</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+4</w:t>
                  </w:r>
                </w:p>
              </w:tc>
              <w:tc>
                <w:tcPr>
                  <w:tcW w:w="719" w:type="pct"/>
                  <w:noWrap w:val="0"/>
                  <w:vAlign w:val="center"/>
                </w:tcPr>
                <w:p>
                  <w:pPr>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74</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全自动水性往复喷涂线（面漆）</w:t>
                  </w:r>
                </w:p>
              </w:tc>
              <w:tc>
                <w:tcPr>
                  <w:tcW w:w="361" w:type="pct"/>
                  <w:noWrap w:val="0"/>
                  <w:vAlign w:val="center"/>
                </w:tcPr>
                <w:p>
                  <w:pPr>
                    <w:snapToGrid w:val="0"/>
                    <w:jc w:val="center"/>
                    <w:rPr>
                      <w:color w:val="000000"/>
                      <w:sz w:val="18"/>
                      <w:szCs w:val="18"/>
                    </w:rPr>
                  </w:pPr>
                  <w:r>
                    <w:rPr>
                      <w:color w:val="000000"/>
                      <w:sz w:val="18"/>
                      <w:szCs w:val="18"/>
                    </w:rPr>
                    <w:t>条</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75</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全自动UV滚图线（UV底漆）</w:t>
                  </w:r>
                </w:p>
              </w:tc>
              <w:tc>
                <w:tcPr>
                  <w:tcW w:w="361" w:type="pct"/>
                  <w:noWrap w:val="0"/>
                  <w:vAlign w:val="center"/>
                </w:tcPr>
                <w:p>
                  <w:pPr>
                    <w:snapToGrid w:val="0"/>
                    <w:jc w:val="center"/>
                    <w:rPr>
                      <w:color w:val="000000"/>
                      <w:sz w:val="18"/>
                      <w:szCs w:val="18"/>
                    </w:rPr>
                  </w:pPr>
                  <w:r>
                    <w:rPr>
                      <w:color w:val="000000"/>
                      <w:sz w:val="18"/>
                      <w:szCs w:val="18"/>
                    </w:rPr>
                    <w:t>条</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76</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自动喷漆房（底漆）</w:t>
                  </w:r>
                </w:p>
              </w:tc>
              <w:tc>
                <w:tcPr>
                  <w:tcW w:w="361" w:type="pct"/>
                  <w:noWrap w:val="0"/>
                  <w:vAlign w:val="center"/>
                </w:tcPr>
                <w:p>
                  <w:pPr>
                    <w:snapToGrid w:val="0"/>
                    <w:jc w:val="center"/>
                    <w:rPr>
                      <w:color w:val="000000"/>
                      <w:sz w:val="18"/>
                      <w:szCs w:val="18"/>
                    </w:rPr>
                  </w:pPr>
                  <w:r>
                    <w:rPr>
                      <w:color w:val="000000"/>
                      <w:sz w:val="18"/>
                      <w:szCs w:val="18"/>
                    </w:rPr>
                    <w:t>个</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77</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烘房</w:t>
                  </w:r>
                </w:p>
              </w:tc>
              <w:tc>
                <w:tcPr>
                  <w:tcW w:w="361" w:type="pct"/>
                  <w:noWrap w:val="0"/>
                  <w:vAlign w:val="center"/>
                </w:tcPr>
                <w:p>
                  <w:pPr>
                    <w:snapToGrid w:val="0"/>
                    <w:jc w:val="center"/>
                    <w:rPr>
                      <w:color w:val="000000"/>
                      <w:sz w:val="18"/>
                      <w:szCs w:val="18"/>
                    </w:rPr>
                  </w:pPr>
                  <w:r>
                    <w:rPr>
                      <w:color w:val="000000"/>
                      <w:sz w:val="18"/>
                      <w:szCs w:val="18"/>
                    </w:rPr>
                    <w:t>个</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+2</w:t>
                  </w:r>
                </w:p>
              </w:tc>
              <w:tc>
                <w:tcPr>
                  <w:tcW w:w="719" w:type="pct"/>
                  <w:noWrap w:val="0"/>
                  <w:vAlign w:val="center"/>
                </w:tcPr>
                <w:p>
                  <w:pPr>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78</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全自动异性喷砂打磨线</w:t>
                  </w:r>
                </w:p>
              </w:tc>
              <w:tc>
                <w:tcPr>
                  <w:tcW w:w="361" w:type="pct"/>
                  <w:noWrap w:val="0"/>
                  <w:vAlign w:val="center"/>
                </w:tcPr>
                <w:p>
                  <w:pPr>
                    <w:snapToGrid w:val="0"/>
                    <w:jc w:val="center"/>
                    <w:rPr>
                      <w:color w:val="000000"/>
                      <w:sz w:val="18"/>
                      <w:szCs w:val="18"/>
                    </w:rPr>
                  </w:pPr>
                  <w:r>
                    <w:rPr>
                      <w:color w:val="000000"/>
                      <w:sz w:val="18"/>
                      <w:szCs w:val="18"/>
                    </w:rPr>
                    <w:t>条</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+1</w:t>
                  </w:r>
                </w:p>
              </w:tc>
              <w:tc>
                <w:tcPr>
                  <w:tcW w:w="719" w:type="pct"/>
                  <w:noWrap w:val="0"/>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rFonts w:hint="eastAsia"/>
                      <w:sz w:val="18"/>
                      <w:szCs w:val="18"/>
                    </w:rPr>
                    <w:t>7</w:t>
                  </w:r>
                  <w:r>
                    <w:rPr>
                      <w:sz w:val="18"/>
                      <w:szCs w:val="18"/>
                    </w:rPr>
                    <w:t>9</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手工打磨房</w:t>
                  </w:r>
                </w:p>
              </w:tc>
              <w:tc>
                <w:tcPr>
                  <w:tcW w:w="361" w:type="pct"/>
                  <w:noWrap w:val="0"/>
                  <w:vAlign w:val="center"/>
                </w:tcPr>
                <w:p>
                  <w:pPr>
                    <w:snapToGrid w:val="0"/>
                    <w:jc w:val="center"/>
                    <w:rPr>
                      <w:color w:val="000000"/>
                      <w:sz w:val="18"/>
                      <w:szCs w:val="18"/>
                    </w:rPr>
                  </w:pPr>
                  <w:r>
                    <w:rPr>
                      <w:color w:val="000000"/>
                      <w:sz w:val="18"/>
                      <w:szCs w:val="18"/>
                    </w:rPr>
                    <w:t>个</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+3</w:t>
                  </w:r>
                </w:p>
              </w:tc>
              <w:tc>
                <w:tcPr>
                  <w:tcW w:w="719" w:type="pct"/>
                  <w:noWrap w:val="0"/>
                  <w:vAlign w:val="center"/>
                </w:tcPr>
                <w:p>
                  <w:pPr>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pPr>
                    <w:jc w:val="center"/>
                    <w:rPr>
                      <w:sz w:val="18"/>
                      <w:szCs w:val="18"/>
                    </w:rPr>
                  </w:pPr>
                  <w:r>
                    <w:rPr>
                      <w:sz w:val="18"/>
                      <w:szCs w:val="18"/>
                    </w:rPr>
                    <w:t>80</w:t>
                  </w:r>
                </w:p>
              </w:tc>
              <w:tc>
                <w:tcPr>
                  <w:tcW w:w="570" w:type="pct"/>
                  <w:vMerge w:val="continue"/>
                  <w:noWrap w:val="0"/>
                  <w:vAlign w:val="center"/>
                </w:tcPr>
                <w:p>
                  <w:pPr>
                    <w:snapToGrid w:val="0"/>
                    <w:jc w:val="center"/>
                    <w:rPr>
                      <w:color w:val="000000"/>
                      <w:sz w:val="18"/>
                      <w:szCs w:val="18"/>
                    </w:rPr>
                  </w:pPr>
                </w:p>
              </w:tc>
              <w:tc>
                <w:tcPr>
                  <w:tcW w:w="1791" w:type="pct"/>
                  <w:noWrap w:val="0"/>
                  <w:vAlign w:val="center"/>
                </w:tcPr>
                <w:p>
                  <w:pPr>
                    <w:jc w:val="center"/>
                    <w:rPr>
                      <w:sz w:val="18"/>
                      <w:szCs w:val="18"/>
                    </w:rPr>
                  </w:pPr>
                  <w:r>
                    <w:rPr>
                      <w:sz w:val="18"/>
                      <w:szCs w:val="18"/>
                    </w:rPr>
                    <w:t>自动喷枪</w:t>
                  </w:r>
                </w:p>
              </w:tc>
              <w:tc>
                <w:tcPr>
                  <w:tcW w:w="361" w:type="pct"/>
                  <w:noWrap w:val="0"/>
                  <w:vAlign w:val="center"/>
                </w:tcPr>
                <w:p>
                  <w:pPr>
                    <w:snapToGrid w:val="0"/>
                    <w:jc w:val="center"/>
                    <w:rPr>
                      <w:color w:val="000000"/>
                      <w:sz w:val="18"/>
                      <w:szCs w:val="18"/>
                    </w:rPr>
                  </w:pPr>
                  <w:r>
                    <w:rPr>
                      <w:color w:val="000000"/>
                      <w:sz w:val="18"/>
                      <w:szCs w:val="18"/>
                    </w:rPr>
                    <w:t>把</w:t>
                  </w:r>
                </w:p>
              </w:tc>
              <w:tc>
                <w:tcPr>
                  <w:tcW w:w="719" w:type="pct"/>
                  <w:noWrap w:val="0"/>
                  <w:vAlign w:val="center"/>
                </w:tcPr>
                <w:p>
                  <w:pPr>
                    <w:snapToGrid w:val="0"/>
                    <w:jc w:val="center"/>
                    <w:rPr>
                      <w:bCs/>
                      <w:color w:val="000000"/>
                      <w:sz w:val="18"/>
                      <w:szCs w:val="18"/>
                    </w:rPr>
                  </w:pPr>
                  <w:r>
                    <w:rPr>
                      <w:bCs/>
                      <w:color w:val="000000"/>
                      <w:sz w:val="18"/>
                      <w:szCs w:val="18"/>
                    </w:rPr>
                    <w:t>0</w:t>
                  </w:r>
                </w:p>
              </w:tc>
              <w:tc>
                <w:tcPr>
                  <w:tcW w:w="480" w:type="pct"/>
                  <w:noWrap w:val="0"/>
                  <w:vAlign w:val="center"/>
                </w:tcPr>
                <w:p>
                  <w:pPr>
                    <w:jc w:val="center"/>
                    <w:rPr>
                      <w:sz w:val="18"/>
                      <w:szCs w:val="18"/>
                    </w:rPr>
                  </w:pPr>
                  <w:r>
                    <w:rPr>
                      <w:sz w:val="18"/>
                      <w:szCs w:val="18"/>
                    </w:rPr>
                    <w:t>+8</w:t>
                  </w:r>
                </w:p>
              </w:tc>
              <w:tc>
                <w:tcPr>
                  <w:tcW w:w="719" w:type="pct"/>
                  <w:noWrap w:val="0"/>
                  <w:vAlign w:val="center"/>
                </w:tcPr>
                <w:p>
                  <w:pPr>
                    <w:jc w:val="center"/>
                    <w:rPr>
                      <w:sz w:val="18"/>
                      <w:szCs w:val="18"/>
                    </w:rPr>
                  </w:pPr>
                  <w:r>
                    <w:rPr>
                      <w:sz w:val="18"/>
                      <w:szCs w:val="18"/>
                    </w:rPr>
                    <w:t>8</w:t>
                  </w:r>
                </w:p>
              </w:tc>
            </w:tr>
          </w:tbl>
          <w:p>
            <w:pPr>
              <w:pStyle w:val="2"/>
              <w:ind w:left="0" w:leftChars="0" w:firstLine="0" w:firstLineChars="0"/>
              <w:rPr>
                <w:rFonts w:hint="eastAsia"/>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电机使用情况及淘汰计划</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经与国家发布的《产业结构调整指导目录》(2013年修正) 、《部分工业行业淘汰落后生产工艺装备和产品指导目录》和《高耗能落后机电设备（产品）淘汰目录（第一批）、（第二批）、（第三批）》进行对照，未发现有淘汰的落后设备和工艺。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工业和信息化部、国家质量监督检验检疫总局2013年6月21日发布的《电机能效提升计划（2013-2015年）》（工信部联节[2013]226号）文件要求，“到2013年底，完成列入工业和信息化部《高耗能落后机电设备（产品）淘汰目录》（第一批）J系列在用电机及第二批淘汰目录中1993年前生产的Y系列三相异步电机的淘汰任务；2015年年底前，完成2003年前生产的Y系列三相异步电机及Y2和Y3系列电机的淘汰任务”。根据设备资料，公司未使用Y、Y2、Y3系列电机，且均在2003年后生产，不在淘汰目录中。</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公司有入户电表，来计量用电情况。</w:t>
            </w:r>
          </w:p>
          <w:p>
            <w:pPr>
              <w:rPr>
                <w:rFonts w:hint="eastAsia" w:ascii="Times New Roman" w:hAnsi="Times New Roman" w:eastAsia="宋体" w:cs="Times New Roman"/>
                <w:sz w:val="24"/>
                <w:szCs w:val="24"/>
                <w:lang w:val="en-US" w:eastAsia="zh-CN"/>
              </w:rPr>
            </w:pPr>
          </w:p>
          <w:bookmarkEnd w:id="5"/>
          <w:p>
            <w:pPr>
              <w:rPr>
                <w:rFonts w:hint="eastAsia" w:ascii="Times New Roman" w:hAnsi="Times New Roman" w:eastAsia="宋体" w:cs="Times New Roman"/>
                <w:sz w:val="24"/>
                <w:szCs w:val="24"/>
                <w:lang w:val="en-US" w:eastAsia="zh-CN"/>
              </w:rPr>
            </w:pPr>
            <w:bookmarkStart w:id="10" w:name="_Toc430015562"/>
            <w:bookmarkStart w:id="11" w:name="_Toc256000013"/>
            <w:r>
              <w:rPr>
                <w:rFonts w:hint="eastAsia" w:ascii="Times New Roman" w:hAnsi="Times New Roman" w:eastAsia="宋体" w:cs="Times New Roman"/>
                <w:sz w:val="24"/>
                <w:szCs w:val="24"/>
                <w:lang w:val="en-US" w:eastAsia="zh-CN"/>
              </w:rPr>
              <w:t>能源计量设备及其配备情况</w:t>
            </w:r>
            <w:bookmarkEnd w:id="10"/>
            <w:bookmarkEnd w:id="11"/>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宋体" w:hAnsi="宋体" w:eastAsia="宋体" w:cs="Times New Roman"/>
                <w:sz w:val="24"/>
                <w:lang w:val="en-US" w:eastAsia="zh-CN"/>
              </w:rPr>
              <w:t>公司</w:t>
            </w:r>
            <w:r>
              <w:rPr>
                <w:rFonts w:hint="eastAsia" w:ascii="宋体" w:hAnsi="宋体" w:eastAsia="宋体" w:cs="Times New Roman"/>
                <w:sz w:val="24"/>
              </w:rPr>
              <w:t>功能结构单一，仅使用电能，电表共</w:t>
            </w:r>
            <w:r>
              <w:rPr>
                <w:rFonts w:hint="eastAsia" w:ascii="宋体" w:hAnsi="宋体" w:eastAsia="宋体" w:cs="Times New Roman"/>
                <w:sz w:val="24"/>
                <w:lang w:val="en-US" w:eastAsia="zh-CN"/>
              </w:rPr>
              <w:t>2</w:t>
            </w:r>
            <w:r>
              <w:rPr>
                <w:rFonts w:hint="eastAsia" w:ascii="宋体" w:hAnsi="宋体" w:eastAsia="宋体" w:cs="Times New Roman"/>
                <w:sz w:val="24"/>
              </w:rPr>
              <w:t>块，</w:t>
            </w:r>
            <w:r>
              <w:rPr>
                <w:rFonts w:hint="eastAsia" w:ascii="宋体" w:hAnsi="宋体" w:eastAsia="宋体" w:cs="Times New Roman"/>
                <w:sz w:val="24"/>
                <w:lang w:val="en-US" w:eastAsia="zh-CN"/>
              </w:rPr>
              <w:t>1块是电力局电表、另1块是天逸光伏发电的电表。</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bookmarkStart w:id="12" w:name="_Toc256000014"/>
            <w:bookmarkStart w:id="13" w:name="_Toc430015563"/>
            <w:r>
              <w:rPr>
                <w:rFonts w:hint="eastAsia" w:ascii="Times New Roman" w:hAnsi="Times New Roman" w:eastAsia="宋体" w:cs="Times New Roman"/>
                <w:sz w:val="24"/>
                <w:szCs w:val="24"/>
                <w:lang w:val="en-US" w:eastAsia="zh-CN"/>
              </w:rPr>
              <w:t>（五）企业能源管理情况</w:t>
            </w:r>
            <w:bookmarkEnd w:id="12"/>
            <w:bookmarkEnd w:id="13"/>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为了加强能源管理工作，降低消耗，提高能源利用率，推进公司节约能源，公司成立了以</w:t>
            </w:r>
            <w:r>
              <w:rPr>
                <w:rFonts w:hint="eastAsia" w:cs="Times New Roman"/>
                <w:sz w:val="24"/>
                <w:szCs w:val="24"/>
                <w:lang w:val="en-US" w:eastAsia="zh-CN"/>
              </w:rPr>
              <w:t>吴丹</w:t>
            </w:r>
            <w:r>
              <w:rPr>
                <w:rFonts w:hint="eastAsia" w:ascii="Times New Roman" w:hAnsi="Times New Roman" w:eastAsia="宋体" w:cs="Times New Roman"/>
                <w:sz w:val="24"/>
                <w:szCs w:val="24"/>
                <w:lang w:val="en-US" w:eastAsia="zh-CN"/>
              </w:rPr>
              <w:t>为组长的公司节能领导小组，负责整个公司的能源管理工作，公司各部门、分厂负责人和职能部门能源管理员为小组成员。企业能源管理机构图见下图。</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小组负责节能目标推进实施，制定日常能源管理规定、牵头组织节能活动以及不定期检查工作，小组定期召开会议，分析能源消耗情况。目前公司设有专职的能源管理人员，负责公司内部能源消耗的测算、各部门用能情况的汇总，日常的用能管理办法的起草、检查等管理工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为进一步加强分公司的能源管理，以节能降耗、确保成本指标的全面完成，</w:t>
            </w:r>
            <w:r>
              <w:rPr>
                <w:rFonts w:hint="eastAsia" w:cs="Times New Roman"/>
                <w:sz w:val="24"/>
                <w:szCs w:val="24"/>
                <w:lang w:val="en-US" w:eastAsia="zh-CN"/>
              </w:rPr>
              <w:t>张雅娟</w:t>
            </w:r>
            <w:r>
              <w:rPr>
                <w:rFonts w:hint="eastAsia" w:ascii="Times New Roman" w:hAnsi="Times New Roman" w:eastAsia="宋体" w:cs="Times New Roman"/>
                <w:sz w:val="24"/>
                <w:szCs w:val="24"/>
                <w:lang w:val="en-US" w:eastAsia="zh-CN"/>
              </w:rPr>
              <w:t>牵头建立了能源管理三级网络系统。能源三级管理网络系统，分别由专人负责此项工作，要求各级按照各自的职责，层层抓落实，层层抓考核，一级对一级负责，确保成本指标细化到位，节能降耗落到实处。</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根据国家能源工作方针政策和能源管理标准，公司制订了能源采购、能源财务、能源生产管理、能源计量统计、能源计量人员岗位责任、能源消耗定额考核标准和节能奖惩制度、能源宣传教育和培训等管理制度。</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公司能源管理制度建设情况</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3598"/>
              <w:gridCol w:w="813"/>
              <w:gridCol w:w="813"/>
              <w:gridCol w:w="813"/>
              <w:gridCol w:w="813"/>
              <w:gridCol w:w="813"/>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vMerge w:val="restar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序号</w:t>
                  </w:r>
                </w:p>
              </w:tc>
              <w:tc>
                <w:tcPr>
                  <w:tcW w:w="1709" w:type="pct"/>
                  <w:vMerge w:val="restar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制度名称</w:t>
                  </w:r>
                </w:p>
              </w:tc>
              <w:tc>
                <w:tcPr>
                  <w:tcW w:w="772" w:type="pct"/>
                  <w:gridSpan w:val="2"/>
                  <w:tcBorders>
                    <w:bottom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是否制定</w:t>
                  </w:r>
                </w:p>
              </w:tc>
              <w:tc>
                <w:tcPr>
                  <w:tcW w:w="1158" w:type="pct"/>
                  <w:gridSpan w:val="3"/>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适宜性</w:t>
                  </w:r>
                </w:p>
              </w:tc>
              <w:tc>
                <w:tcPr>
                  <w:tcW w:w="985" w:type="pct"/>
                  <w:vMerge w:val="restar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376" w:type="pct"/>
                  <w:vMerge w:val="continue"/>
                  <w:noWrap w:val="0"/>
                  <w:vAlign w:val="center"/>
                </w:tcPr>
                <w:p>
                  <w:pPr>
                    <w:rPr>
                      <w:rFonts w:hint="eastAsia" w:ascii="Times New Roman" w:hAnsi="Times New Roman" w:eastAsia="宋体" w:cs="Times New Roman"/>
                      <w:sz w:val="24"/>
                      <w:szCs w:val="24"/>
                      <w:lang w:val="en-US" w:eastAsia="zh-CN"/>
                    </w:rPr>
                  </w:pPr>
                </w:p>
              </w:tc>
              <w:tc>
                <w:tcPr>
                  <w:tcW w:w="1709" w:type="pct"/>
                  <w:vMerge w:val="continue"/>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auto" w:sz="4" w:space="0"/>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w:t>
                  </w:r>
                </w:p>
              </w:tc>
              <w:tc>
                <w:tcPr>
                  <w:tcW w:w="386" w:type="pct"/>
                  <w:tcBorders>
                    <w:top w:val="single" w:color="auto" w:sz="4" w:space="0"/>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好</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中</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差</w:t>
                  </w:r>
                </w:p>
              </w:tc>
              <w:tc>
                <w:tcPr>
                  <w:tcW w:w="985" w:type="pct"/>
                  <w:vMerge w:val="continue"/>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能源采购和审批管理制度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能源财务管理制度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能源生产管理制度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能源计量统计制度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能源计量器具管理制度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能源计量人员岗位责任制</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能源消耗定额、考核标准和节能奖惩制度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能源宣传教育和培训制度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节能技改措施评审及实施制度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p>
              </w:tc>
              <w:tc>
                <w:tcPr>
                  <w:tcW w:w="170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合理化建议奖励制度</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auto"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985"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w:t>
                  </w:r>
                </w:p>
              </w:tc>
              <w:tc>
                <w:tcPr>
                  <w:tcW w:w="170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能源对标先进信息收集制度</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auto"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985"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r>
          </w:tbl>
          <w:p>
            <w:pPr>
              <w:rPr>
                <w:rFonts w:hint="eastAsia" w:ascii="Times New Roman" w:hAnsi="Times New Roman" w:eastAsia="宋体" w:cs="Times New Roman"/>
                <w:sz w:val="24"/>
                <w:szCs w:val="24"/>
                <w:lang w:val="en-US" w:eastAsia="zh-CN"/>
              </w:rPr>
            </w:pPr>
            <w:bookmarkStart w:id="14" w:name="_Toc256000015"/>
            <w:bookmarkStart w:id="15" w:name="_Toc430015564"/>
            <w:r>
              <w:rPr>
                <w:rFonts w:hint="eastAsia" w:ascii="Times New Roman" w:hAnsi="Times New Roman" w:eastAsia="宋体" w:cs="Times New Roman"/>
                <w:sz w:val="24"/>
                <w:szCs w:val="24"/>
                <w:lang w:val="en-US" w:eastAsia="zh-CN"/>
              </w:rPr>
              <w:t>（六）余能种类及其使用状况（已利用和还未利用的余能有哪些，有哪些技术，与后续的节能机会有衔接）</w:t>
            </w:r>
            <w:bookmarkEnd w:id="14"/>
            <w:bookmarkEnd w:id="15"/>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公司存在的主要余能有部分电机的变频改造等，本身温度相对也比较低，目前未有很好的措施展开利用。电机部分，目前已有部分电机改为变频，尚有部分电机未安装变频。</w:t>
            </w:r>
          </w:p>
          <w:p>
            <w:pPr>
              <w:rPr>
                <w:rFonts w:hint="eastAsia" w:ascii="Times New Roman" w:hAnsi="Times New Roman" w:eastAsia="宋体" w:cs="Times New Roman"/>
                <w:sz w:val="24"/>
                <w:szCs w:val="24"/>
                <w:lang w:val="en-US" w:eastAsia="zh-CN"/>
              </w:rPr>
            </w:pPr>
            <w:bookmarkStart w:id="16" w:name="_Toc430015565"/>
            <w:bookmarkStart w:id="17" w:name="_Toc256000016"/>
            <w:r>
              <w:rPr>
                <w:rFonts w:hint="eastAsia" w:ascii="Times New Roman" w:hAnsi="Times New Roman" w:eastAsia="宋体" w:cs="Times New Roman"/>
                <w:sz w:val="24"/>
                <w:szCs w:val="24"/>
                <w:lang w:val="en-US" w:eastAsia="zh-CN"/>
              </w:rPr>
              <w:t>（七）节能先进技术使用情况</w:t>
            </w:r>
            <w:bookmarkEnd w:id="16"/>
            <w:bookmarkEnd w:id="17"/>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对照《国家重点节能技术推广目录》（第一～六批）、《国家重点行业清洁生产技术导向目录》（第一～三批）、《</w:t>
            </w:r>
            <w:r>
              <w:rPr>
                <w:rFonts w:hint="eastAsia" w:ascii="Times New Roman" w:hAnsi="Times New Roman" w:eastAsia="宋体" w:cs="Times New Roman"/>
                <w:sz w:val="24"/>
                <w:szCs w:val="24"/>
                <w:lang w:val="en-US" w:eastAsia="zh-CN"/>
              </w:rPr>
              <w:fldChar w:fldCharType="begin"/>
            </w:r>
            <w:r>
              <w:rPr>
                <w:rFonts w:hint="eastAsia" w:ascii="Times New Roman" w:hAnsi="Times New Roman" w:eastAsia="宋体" w:cs="Times New Roman"/>
                <w:sz w:val="24"/>
                <w:szCs w:val="24"/>
                <w:lang w:val="en-US" w:eastAsia="zh-CN"/>
              </w:rPr>
              <w:instrText xml:space="preserve"> HYPERLINK "http://www.gov.cn/zwgk/2011-12/15/content_2020950.htm" \t "_blank" </w:instrText>
            </w:r>
            <w:r>
              <w:rPr>
                <w:rFonts w:hint="eastAsia" w:ascii="Times New Roman" w:hAnsi="Times New Roman" w:eastAsia="宋体" w:cs="Times New Roman"/>
                <w:sz w:val="24"/>
                <w:szCs w:val="24"/>
                <w:lang w:val="en-US" w:eastAsia="zh-CN"/>
              </w:rPr>
              <w:fldChar w:fldCharType="separate"/>
            </w:r>
            <w:r>
              <w:rPr>
                <w:rFonts w:hint="eastAsia" w:ascii="Times New Roman" w:hAnsi="Times New Roman" w:eastAsia="宋体" w:cs="Times New Roman"/>
                <w:sz w:val="24"/>
                <w:szCs w:val="24"/>
                <w:lang w:val="en-US" w:eastAsia="zh-CN"/>
              </w:rPr>
              <w:t>节能机电设备(产品)推荐目录</w:t>
            </w:r>
            <w:r>
              <w:rPr>
                <w:rFonts w:hint="eastAsia" w:ascii="Times New Roman" w:hAnsi="Times New Roman" w:eastAsia="宋体" w:cs="Times New Roman"/>
                <w:sz w:val="24"/>
                <w:szCs w:val="24"/>
                <w:lang w:val="en-US" w:eastAsia="zh-CN"/>
              </w:rPr>
              <w:fldChar w:fldCharType="end"/>
            </w:r>
            <w:r>
              <w:rPr>
                <w:rFonts w:hint="eastAsia" w:ascii="Times New Roman" w:hAnsi="Times New Roman" w:eastAsia="宋体" w:cs="Times New Roman"/>
                <w:sz w:val="24"/>
                <w:szCs w:val="24"/>
                <w:lang w:val="en-US" w:eastAsia="zh-CN"/>
              </w:rPr>
              <w:t>》（第一～五批）等，公司目前已实施和引进的先进技术、设备有：</w:t>
            </w:r>
          </w:p>
          <w:p>
            <w:pPr>
              <w:rPr>
                <w:rFonts w:hint="eastAsia" w:ascii="Times New Roman" w:hAnsi="Times New Roman" w:eastAsia="宋体" w:cs="Times New Roman"/>
                <w:sz w:val="24"/>
                <w:szCs w:val="24"/>
                <w:lang w:val="en-US" w:eastAsia="zh-CN"/>
              </w:rPr>
            </w:pPr>
            <w:bookmarkStart w:id="18" w:name="_Toc408997218"/>
            <w:bookmarkStart w:id="19" w:name="_Toc430015568"/>
            <w:bookmarkStart w:id="20" w:name="_Toc256000019"/>
            <w:r>
              <w:rPr>
                <w:rFonts w:hint="eastAsia" w:ascii="Times New Roman" w:hAnsi="Times New Roman" w:eastAsia="宋体" w:cs="Times New Roman"/>
                <w:sz w:val="24"/>
                <w:szCs w:val="24"/>
                <w:lang w:val="en-US" w:eastAsia="zh-CN"/>
              </w:rPr>
              <w:t>四、</w:t>
            </w:r>
            <w:bookmarkEnd w:id="18"/>
            <w:r>
              <w:rPr>
                <w:rFonts w:hint="eastAsia" w:ascii="Times New Roman" w:hAnsi="Times New Roman" w:eastAsia="宋体" w:cs="Times New Roman"/>
                <w:sz w:val="24"/>
                <w:szCs w:val="24"/>
                <w:lang w:val="en-US" w:eastAsia="zh-CN"/>
              </w:rPr>
              <w:t>适用的能源法律法规及合规性评价</w:t>
            </w:r>
            <w:bookmarkEnd w:id="19"/>
            <w:bookmarkEnd w:id="20"/>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法律法规评价表（还应关注与政府、顾客的协议，上级要求、自身对外承诺、当地政府发文等。以下只是部分例子，法规清单在RB/T标准附录中有一些）</w:t>
            </w:r>
          </w:p>
          <w:tbl>
            <w:tblPr>
              <w:tblStyle w:val="10"/>
              <w:tblW w:w="9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608"/>
              <w:gridCol w:w="1317"/>
              <w:gridCol w:w="1390"/>
              <w:gridCol w:w="3635"/>
              <w:gridCol w:w="232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665" w:hRule="atLeast"/>
                <w:tblHeader/>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317"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相关</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法律法规</w:t>
                  </w:r>
                </w:p>
              </w:tc>
              <w:tc>
                <w:tcPr>
                  <w:tcW w:w="1390"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发布单位</w:t>
                  </w:r>
                </w:p>
              </w:tc>
              <w:tc>
                <w:tcPr>
                  <w:tcW w:w="3635"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适用条款</w:t>
                  </w:r>
                </w:p>
              </w:tc>
              <w:tc>
                <w:tcPr>
                  <w:tcW w:w="2329"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企业目前情况</w:t>
                  </w:r>
                </w:p>
              </w:tc>
              <w:tc>
                <w:tcPr>
                  <w:tcW w:w="669"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162" w:hRule="atLeast"/>
                <w:jc w:val="center"/>
              </w:trPr>
              <w:tc>
                <w:tcPr>
                  <w:tcW w:w="608"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2707" w:type="dxa"/>
                  <w:gridSpan w:val="2"/>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中华人民共和国节约能源法</w:t>
                  </w:r>
                  <w:r>
                    <w:rPr>
                      <w:rFonts w:hint="eastAsia" w:ascii="Times New Roman" w:hAnsi="Times New Roman" w:eastAsia="宋体" w:cs="Times New Roman"/>
                      <w:color w:val="0000FF"/>
                      <w:sz w:val="21"/>
                      <w:szCs w:val="21"/>
                      <w:lang w:val="en-US" w:eastAsia="zh-CN"/>
                    </w:rPr>
                    <w:t>（</w:t>
                  </w:r>
                  <w:r>
                    <w:rPr>
                      <w:rFonts w:hint="eastAsia" w:ascii="Times New Roman" w:hAnsi="Times New Roman" w:eastAsia="宋体" w:cs="Times New Roman"/>
                      <w:sz w:val="21"/>
                      <w:szCs w:val="21"/>
                      <w:lang w:val="en-US" w:eastAsia="zh-CN"/>
                    </w:rPr>
                    <w:t>2018年10月26日修订）</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第十六条 生产过程中耗能高的产品的生产单位，应当执行单位产品能耗限额标准。</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公司已制定单位产品的耗能限额标准</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90" w:hRule="atLeast"/>
                <w:jc w:val="center"/>
              </w:trPr>
              <w:tc>
                <w:tcPr>
                  <w:tcW w:w="608" w:type="dxa"/>
                  <w:vMerge w:val="continue"/>
                  <w:noWrap w:val="0"/>
                  <w:vAlign w:val="center"/>
                </w:tcPr>
                <w:p>
                  <w:pPr>
                    <w:rPr>
                      <w:rFonts w:hint="eastAsia" w:ascii="Times New Roman" w:hAnsi="Times New Roman" w:eastAsia="宋体" w:cs="Times New Roman"/>
                      <w:sz w:val="21"/>
                      <w:szCs w:val="21"/>
                      <w:lang w:val="en-US" w:eastAsia="zh-CN"/>
                    </w:rPr>
                  </w:pPr>
                </w:p>
              </w:tc>
              <w:tc>
                <w:tcPr>
                  <w:tcW w:w="2707" w:type="dxa"/>
                  <w:gridSpan w:val="2"/>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第二十五条　用能单位应当建立节能目标责任制，对节能工作取得成绩的集体、个人给予奖励。</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公司已制定节能目标和任务，并制定了相关的奖惩措施</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65" w:hRule="atLeast"/>
                <w:jc w:val="center"/>
              </w:trPr>
              <w:tc>
                <w:tcPr>
                  <w:tcW w:w="608" w:type="dxa"/>
                  <w:vMerge w:val="continue"/>
                  <w:noWrap w:val="0"/>
                  <w:vAlign w:val="center"/>
                </w:tcPr>
                <w:p>
                  <w:pPr>
                    <w:rPr>
                      <w:rFonts w:hint="eastAsia" w:ascii="Times New Roman" w:hAnsi="Times New Roman" w:eastAsia="宋体" w:cs="Times New Roman"/>
                      <w:sz w:val="21"/>
                      <w:szCs w:val="21"/>
                      <w:lang w:val="en-US" w:eastAsia="zh-CN"/>
                    </w:rPr>
                  </w:pPr>
                </w:p>
              </w:tc>
              <w:tc>
                <w:tcPr>
                  <w:tcW w:w="2707" w:type="dxa"/>
                  <w:gridSpan w:val="2"/>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第二十七条 用能单位应当建立能源消费统计和能源利用状况分析制度，对各类能源的消费实行分类计量和统计，并确保能源消费统计数据真实、完整。</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公司质计部定期有对各个分厂的能源消费进行分类计量和统计</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832" w:hRule="atLeast"/>
                <w:jc w:val="center"/>
              </w:trPr>
              <w:tc>
                <w:tcPr>
                  <w:tcW w:w="608"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317"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中华人民共和国清洁生产促进法</w:t>
                  </w:r>
                </w:p>
              </w:tc>
              <w:tc>
                <w:tcPr>
                  <w:tcW w:w="1390"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第九届全国人民代表大会常务委员会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第十七条　列入前款规定名单的企业，应当按照国务院清洁生产综合协调部门、环境保护部门的规定公布能源消耗或者重点污染物产生、排放情况，接受公众监督。</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企业目前生产情况都有得到相关部门和公众监督</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13" w:hRule="atLeast"/>
                <w:jc w:val="center"/>
              </w:trPr>
              <w:tc>
                <w:tcPr>
                  <w:tcW w:w="608" w:type="dxa"/>
                  <w:vMerge w:val="continue"/>
                  <w:noWrap w:val="0"/>
                  <w:vAlign w:val="center"/>
                </w:tcPr>
                <w:p>
                  <w:pPr>
                    <w:rPr>
                      <w:rFonts w:hint="eastAsia" w:ascii="Times New Roman" w:hAnsi="Times New Roman" w:eastAsia="宋体" w:cs="Times New Roman"/>
                      <w:sz w:val="21"/>
                      <w:szCs w:val="21"/>
                      <w:lang w:val="en-US" w:eastAsia="zh-CN"/>
                    </w:rPr>
                  </w:pPr>
                </w:p>
              </w:tc>
              <w:tc>
                <w:tcPr>
                  <w:tcW w:w="1317" w:type="dxa"/>
                  <w:vMerge w:val="continue"/>
                  <w:noWrap w:val="0"/>
                  <w:vAlign w:val="center"/>
                </w:tcPr>
                <w:p>
                  <w:pPr>
                    <w:rPr>
                      <w:rFonts w:hint="eastAsia" w:ascii="Times New Roman" w:hAnsi="Times New Roman" w:eastAsia="宋体" w:cs="Times New Roman"/>
                      <w:sz w:val="21"/>
                      <w:szCs w:val="21"/>
                      <w:lang w:val="en-US" w:eastAsia="zh-CN"/>
                    </w:rPr>
                  </w:pPr>
                </w:p>
              </w:tc>
              <w:tc>
                <w:tcPr>
                  <w:tcW w:w="1390" w:type="dxa"/>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第二十六条　企业应当在经济技术可行的条件下对生产和服务过程中产生的废物、余热等自行回收利用或者转让给有条件的其他企业和个人利用</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公司对产生的废弃物尽可能回收利用，如氧化铁皮、飞剪切头切尾等</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831" w:hRule="atLeast"/>
                <w:jc w:val="center"/>
              </w:trPr>
              <w:tc>
                <w:tcPr>
                  <w:tcW w:w="608" w:type="dxa"/>
                  <w:vMerge w:val="continue"/>
                  <w:noWrap w:val="0"/>
                  <w:vAlign w:val="center"/>
                </w:tcPr>
                <w:p>
                  <w:pPr>
                    <w:rPr>
                      <w:rFonts w:hint="eastAsia" w:ascii="Times New Roman" w:hAnsi="Times New Roman" w:eastAsia="宋体" w:cs="Times New Roman"/>
                      <w:sz w:val="21"/>
                      <w:szCs w:val="21"/>
                      <w:lang w:val="en-US" w:eastAsia="zh-CN"/>
                    </w:rPr>
                  </w:pPr>
                </w:p>
              </w:tc>
              <w:tc>
                <w:tcPr>
                  <w:tcW w:w="1317" w:type="dxa"/>
                  <w:vMerge w:val="continue"/>
                  <w:noWrap w:val="0"/>
                  <w:vAlign w:val="center"/>
                </w:tcPr>
                <w:p>
                  <w:pPr>
                    <w:rPr>
                      <w:rFonts w:hint="eastAsia" w:ascii="Times New Roman" w:hAnsi="Times New Roman" w:eastAsia="宋体" w:cs="Times New Roman"/>
                      <w:sz w:val="21"/>
                      <w:szCs w:val="21"/>
                      <w:lang w:val="en-US" w:eastAsia="zh-CN"/>
                    </w:rPr>
                  </w:pPr>
                </w:p>
              </w:tc>
              <w:tc>
                <w:tcPr>
                  <w:tcW w:w="1390" w:type="dxa"/>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第十八条　新建、改建和扩建项目应当进行环境影响评价，对原料使用、资源消耗、资源综合利用以及污染物产生与处置等进行分析论证，优先采用资源利用率高以及污染物产生量少的清洁生产技术、工艺和设备。</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公司新建项目都有做相应的环评，生产过程有优先考虑先进工艺和技术</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中华人民共和国计量法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第六届全国人民代表大会常务委员会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第十七条 使用计量器具不得破坏其准确度，损害国家和消费者的利益。</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公司未破坏计量器具的准确度</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038" w:hRule="atLeast"/>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“十二五”节能减排综合性工作方案</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（十六）强化重点用能单位节能管理。建立健全企业能源管理体系。</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公司已建立能源管理体系</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节约用电管理办法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国家经济贸易委员会、</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国家发展计划委员会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第十三条 国家明令淘汰的低效高耗电的工艺、技术和设备，禁止在新建或改建工程项目中采用；正在使用的应限期停止使用，不得转移他人使用。</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公司已经对设备进行统计，存在部分淘汰的电机。 </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中华人民共和国电力法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第八届全国人民代表大会常务委员会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第三十一条 用户应当安装用电计量装置。用户使用的电力电量，以计量检定机构依法认可的用电计量装置的记录为准。</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公司目前已安装电力计量装置，并按规定检定</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“十二五”节能减排综合性工作方案</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（十六）强化重点用能单位节能管理。建立健全企业能源管理体系。</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公司正在建立能源管理体系</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608"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317"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能源计量监督管理办法</w:t>
                  </w:r>
                </w:p>
              </w:tc>
              <w:tc>
                <w:tcPr>
                  <w:tcW w:w="1390"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国家质量监督检验检疫总局</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第五条 用能单位应当建立健全能源计量管理制度，明确计量管理职责，加强能源计量管理，确保能源计量数据真实准确。</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公司已建立测量管理体系和相应制度，明确计量管理职责</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038" w:hRule="atLeast"/>
                <w:jc w:val="center"/>
              </w:trPr>
              <w:tc>
                <w:tcPr>
                  <w:tcW w:w="608" w:type="dxa"/>
                  <w:vMerge w:val="continue"/>
                  <w:noWrap w:val="0"/>
                  <w:vAlign w:val="center"/>
                </w:tcPr>
                <w:p>
                  <w:pPr>
                    <w:rPr>
                      <w:rFonts w:hint="eastAsia" w:ascii="Times New Roman" w:hAnsi="Times New Roman" w:eastAsia="宋体" w:cs="Times New Roman"/>
                      <w:sz w:val="21"/>
                      <w:szCs w:val="21"/>
                      <w:lang w:val="en-US" w:eastAsia="zh-CN"/>
                    </w:rPr>
                  </w:pPr>
                </w:p>
              </w:tc>
              <w:tc>
                <w:tcPr>
                  <w:tcW w:w="1317" w:type="dxa"/>
                  <w:vMerge w:val="continue"/>
                  <w:noWrap w:val="0"/>
                  <w:vAlign w:val="center"/>
                </w:tcPr>
                <w:p>
                  <w:pPr>
                    <w:rPr>
                      <w:rFonts w:hint="eastAsia" w:ascii="Times New Roman" w:hAnsi="Times New Roman" w:eastAsia="宋体" w:cs="Times New Roman"/>
                      <w:sz w:val="21"/>
                      <w:szCs w:val="21"/>
                      <w:lang w:val="en-US" w:eastAsia="zh-CN"/>
                    </w:rPr>
                  </w:pPr>
                </w:p>
              </w:tc>
              <w:tc>
                <w:tcPr>
                  <w:tcW w:w="1390" w:type="dxa"/>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第七条 用能单位应当建立能源计量器具台账，加强能源计量器具管理。</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公司已建立能源测量器具台账。</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07" w:hRule="atLeast"/>
                <w:jc w:val="center"/>
              </w:trPr>
              <w:tc>
                <w:tcPr>
                  <w:tcW w:w="608"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中华人民共和国水法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第九届全国人民代表大会常务委员会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第五十三条　新建、扩建、改建建设项目，应当制订节水措施方案，配套建设节水设施。节水设施应当与主体工程同时设计、同时施工、同时投产。</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企业目前已建立生产循环用水系统，并与主体工程同时设计、同时施工、同时投产使用</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bl>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评价结果如下：</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1、公司制定的能源方针、目标科学合理，从内容、方法、节约能源等方面慎重考虑了相关法律、法规和其它要求。</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2、在开展能源体系建设之初，根据《能源管理体系 要求》编制了能源管理体系的《管理手册》和《程序文件》，使能源管理体系的建立和实施有了根基。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在能源管理方面依据《中华人民共和国节约能源法》编制了《能源管理制度》，依据《重点用能单位节能管理办法》和《工业企业能源管理导则》编制了《节能管理制度》及《二次能源利用对标考核》，使节能工作的开展有了纲领和依据。</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在能源计量管理上，依据《用能单位能源计量器具配备和管理通则》编制修订了《能源计量管理制度》，明确计量管理职责，加强能源计量管理，确保能源计量数据真实准确，使能源计量工作的管理更加完善。</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5、在用电的管理和节能使用上，依据《节约用电管理办法》加强了电能的合理使用和节电工作，并将用电纳入各部门的绩效考核中，将电的利用改造纳入节能创新成果，并进行及时激励。另外建设</w:t>
            </w:r>
            <w:r>
              <w:rPr>
                <w:rFonts w:hint="eastAsia" w:cs="Times New Roman"/>
                <w:sz w:val="24"/>
                <w:szCs w:val="24"/>
                <w:lang w:val="en-US" w:eastAsia="zh-CN"/>
              </w:rPr>
              <w:t>光伏</w:t>
            </w:r>
            <w:r>
              <w:rPr>
                <w:rFonts w:hint="eastAsia" w:ascii="Times New Roman" w:hAnsi="Times New Roman" w:eastAsia="宋体" w:cs="Times New Roman"/>
                <w:sz w:val="24"/>
                <w:szCs w:val="24"/>
                <w:lang w:val="en-US" w:eastAsia="zh-CN"/>
              </w:rPr>
              <w:t xml:space="preserve">发电等项目利用余热余能进行发电节省用电量。 </w:t>
            </w:r>
          </w:p>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、在节能工作方面，公司成立了节能领导小组，制定节能目标和节能任务，并落实到具体车间。</w:t>
            </w:r>
          </w:p>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7</w:t>
            </w:r>
            <w:r>
              <w:rPr>
                <w:rFonts w:hint="eastAsia" w:ascii="Times New Roman" w:hAnsi="Times New Roman" w:eastAsia="宋体" w:cs="Times New Roman"/>
                <w:sz w:val="24"/>
                <w:szCs w:val="24"/>
                <w:lang w:val="en-US" w:eastAsia="zh-CN"/>
              </w:rPr>
              <w:t>、公司根据适用法律、法规和其它要求，修订了各部门的能源管理职责，制定了能源管理文件，在资源配置、策划要求、现场运行控制、可施加影响的信息沟通和持续改进等方面都有明确的体现。比如增设了能源管理岗位、成立了能源管理体系小组等。</w:t>
            </w:r>
          </w:p>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8</w:t>
            </w:r>
            <w:r>
              <w:rPr>
                <w:rFonts w:hint="eastAsia" w:ascii="Times New Roman" w:hAnsi="Times New Roman" w:eastAsia="宋体" w:cs="Times New Roman"/>
                <w:sz w:val="24"/>
                <w:szCs w:val="24"/>
                <w:lang w:val="en-US" w:eastAsia="zh-CN"/>
              </w:rPr>
              <w:t>、从公司能源管理业绩上讲，未发生因公司责任引起造成能源浪费事故。</w:t>
            </w:r>
          </w:p>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9</w:t>
            </w:r>
            <w:r>
              <w:rPr>
                <w:rFonts w:hint="eastAsia" w:ascii="Times New Roman" w:hAnsi="Times New Roman" w:eastAsia="宋体" w:cs="Times New Roman"/>
                <w:sz w:val="24"/>
                <w:szCs w:val="24"/>
                <w:lang w:val="en-US" w:eastAsia="zh-CN"/>
              </w:rPr>
              <w:t>、存在问题：节能教育力度不够，还有大部分基层员工和新员工对相关法律法规和其它要求的具体内容了解不够，需要加强用能单位的节能教育和相关培训。</w:t>
            </w:r>
          </w:p>
          <w:p>
            <w:pPr>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公司的正确领导下，各部门按照能源管理体系要求加强能源管理运行，能源方针“遵守法规，淘汰换新；节能降耗，余能回用；消耗极限，改进能效。”与公司的经营宗旨相适应，为公司制定能源目标明确了方向，是与社会的可持续发展相适应的，并得到公司全体员工的理解和支持。公司各部门对各自的能源因素进行全面的识别并合理评价，对重要能源因素都制定了目标、指标管理方案，致力于降低能源消耗、提高能源效率、持续改进能源管理绩效的工作。严格遵守相关环境法律法规，对能源合理利用，确保生产经营活动满足国家有关法律法规的要求，圆满完成能源管理目标。</w:t>
            </w:r>
          </w:p>
          <w:p>
            <w:pPr>
              <w:rPr>
                <w:rFonts w:hint="eastAsia" w:ascii="Times New Roman" w:hAnsi="Times New Roman" w:eastAsia="宋体" w:cs="Times New Roman"/>
                <w:sz w:val="24"/>
                <w:szCs w:val="24"/>
                <w:lang w:val="en-US" w:eastAsia="zh-CN"/>
              </w:rPr>
            </w:pPr>
            <w:bookmarkStart w:id="21" w:name="_Toc430015569"/>
            <w:bookmarkStart w:id="22" w:name="_Toc256000020"/>
            <w:r>
              <w:rPr>
                <w:rFonts w:hint="eastAsia" w:ascii="Times New Roman" w:hAnsi="Times New Roman" w:eastAsia="宋体" w:cs="Times New Roman"/>
                <w:sz w:val="24"/>
                <w:szCs w:val="24"/>
                <w:lang w:val="en-US" w:eastAsia="zh-CN"/>
              </w:rPr>
              <w:t>五、评审结果</w:t>
            </w:r>
            <w:bookmarkEnd w:id="21"/>
            <w:bookmarkEnd w:id="22"/>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通过初始评审确认，目前公司主要能源绩效参数主要是电耗。能源绩效参数见下表，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能源绩效参数（应涵盖所确定的边界的能效参数）</w:t>
            </w:r>
          </w:p>
          <w:tbl>
            <w:tblPr>
              <w:tblStyle w:val="10"/>
              <w:tblW w:w="5191" w:type="pct"/>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2"/>
              <w:gridCol w:w="1709"/>
              <w:gridCol w:w="2190"/>
              <w:gridCol w:w="2031"/>
              <w:gridCol w:w="1545"/>
              <w:gridCol w:w="742"/>
              <w:gridCol w:w="1131"/>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trPr>
              <w:tc>
                <w:tcPr>
                  <w:tcW w:w="1047" w:type="pct"/>
                  <w:gridSpan w:val="2"/>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能源绩效参数</w:t>
                  </w:r>
                </w:p>
              </w:tc>
              <w:tc>
                <w:tcPr>
                  <w:tcW w:w="1001" w:type="pct"/>
                  <w:tcBorders>
                    <w:right w:val="single" w:color="auto" w:sz="4" w:space="0"/>
                  </w:tcBorders>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公式定义</w:t>
                  </w:r>
                </w:p>
              </w:tc>
              <w:tc>
                <w:tcPr>
                  <w:tcW w:w="928" w:type="pct"/>
                  <w:tcBorders>
                    <w:right w:val="single" w:color="auto" w:sz="4" w:space="0"/>
                  </w:tcBorders>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绩效指标</w:t>
                  </w:r>
                </w:p>
              </w:tc>
              <w:tc>
                <w:tcPr>
                  <w:tcW w:w="706" w:type="pct"/>
                  <w:tcBorders>
                    <w:left w:val="single" w:color="auto" w:sz="4" w:space="0"/>
                  </w:tcBorders>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指标依据</w:t>
                  </w:r>
                </w:p>
              </w:tc>
              <w:tc>
                <w:tcPr>
                  <w:tcW w:w="339" w:type="pct"/>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是否考核</w:t>
                  </w:r>
                </w:p>
              </w:tc>
              <w:tc>
                <w:tcPr>
                  <w:tcW w:w="517" w:type="pct"/>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实际值</w:t>
                  </w:r>
                </w:p>
              </w:tc>
              <w:tc>
                <w:tcPr>
                  <w:tcW w:w="457" w:type="pct"/>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差距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atLeast"/>
              </w:trPr>
              <w:tc>
                <w:tcPr>
                  <w:tcW w:w="266" w:type="pct"/>
                  <w:noWrap w:val="0"/>
                  <w:textDirection w:val="tbRlV"/>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公司级</w:t>
                  </w:r>
                </w:p>
              </w:tc>
              <w:tc>
                <w:tcPr>
                  <w:tcW w:w="781" w:type="pct"/>
                  <w:noWrap w:val="0"/>
                  <w:vAlign w:val="center"/>
                </w:tcPr>
                <w:p>
                  <w:pP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万元产值能耗</w:t>
                  </w:r>
                </w:p>
              </w:tc>
              <w:tc>
                <w:tcPr>
                  <w:tcW w:w="1001" w:type="pct"/>
                  <w:tcBorders>
                    <w:right w:val="single" w:color="auto" w:sz="4" w:space="0"/>
                  </w:tcBorders>
                  <w:noWrap w:val="0"/>
                  <w:vAlign w:val="center"/>
                </w:tcPr>
                <w:p>
                  <w:pP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年耗标煤/年生产总值</w:t>
                  </w:r>
                </w:p>
              </w:tc>
              <w:tc>
                <w:tcPr>
                  <w:tcW w:w="928" w:type="pct"/>
                  <w:tcBorders>
                    <w:right w:val="single" w:color="auto" w:sz="4" w:space="0"/>
                  </w:tcBorders>
                  <w:noWrap w:val="0"/>
                  <w:vAlign w:val="center"/>
                </w:tcPr>
                <w:p>
                  <w:pP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6.93kgce/</w:t>
                  </w:r>
                  <w:r>
                    <w:rPr>
                      <w:rFonts w:hint="default" w:ascii="宋体" w:hAnsi="宋体" w:eastAsia="宋体" w:cs="宋体"/>
                      <w:color w:val="auto"/>
                      <w:szCs w:val="21"/>
                      <w:lang w:val="en-US" w:eastAsia="zh-CN"/>
                    </w:rPr>
                    <w:t>万</w:t>
                  </w:r>
                  <w:r>
                    <w:rPr>
                      <w:rFonts w:hint="eastAsia" w:ascii="宋体" w:hAnsi="宋体" w:eastAsia="宋体" w:cs="宋体"/>
                      <w:color w:val="auto"/>
                      <w:szCs w:val="21"/>
                      <w:lang w:val="en-US" w:eastAsia="zh-CN"/>
                    </w:rPr>
                    <w:t>元</w:t>
                  </w:r>
                </w:p>
              </w:tc>
              <w:tc>
                <w:tcPr>
                  <w:tcW w:w="706" w:type="pct"/>
                  <w:tcBorders>
                    <w:left w:val="single" w:color="auto" w:sz="4" w:space="0"/>
                  </w:tcBorders>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企业年历史水平</w:t>
                  </w:r>
                </w:p>
              </w:tc>
              <w:tc>
                <w:tcPr>
                  <w:tcW w:w="339" w:type="pct"/>
                  <w:noWrap w:val="0"/>
                  <w:vAlign w:val="center"/>
                </w:tcPr>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是</w:t>
                  </w:r>
                </w:p>
              </w:tc>
              <w:tc>
                <w:tcPr>
                  <w:tcW w:w="517" w:type="pct"/>
                  <w:noWrap w:val="0"/>
                  <w:vAlign w:val="center"/>
                </w:tcPr>
                <w:p>
                  <w:pP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6.79kgce/</w:t>
                  </w:r>
                  <w:r>
                    <w:rPr>
                      <w:rFonts w:hint="default" w:ascii="宋体" w:hAnsi="宋体" w:eastAsia="宋体" w:cs="宋体"/>
                      <w:color w:val="auto"/>
                      <w:szCs w:val="21"/>
                      <w:lang w:val="en-US" w:eastAsia="zh-CN"/>
                    </w:rPr>
                    <w:t>万</w:t>
                  </w:r>
                  <w:r>
                    <w:rPr>
                      <w:rFonts w:hint="eastAsia" w:ascii="宋体" w:hAnsi="宋体" w:eastAsia="宋体" w:cs="宋体"/>
                      <w:color w:val="auto"/>
                      <w:szCs w:val="21"/>
                      <w:lang w:val="en-US" w:eastAsia="zh-CN"/>
                    </w:rPr>
                    <w:t>元</w:t>
                  </w:r>
                </w:p>
              </w:tc>
              <w:tc>
                <w:tcPr>
                  <w:tcW w:w="457" w:type="pct"/>
                  <w:noWrap w:val="0"/>
                  <w:vAlign w:val="center"/>
                </w:tcPr>
                <w:p>
                  <w:pPr>
                    <w:rPr>
                      <w:rFonts w:hint="eastAsia" w:ascii="宋体" w:hAnsi="宋体" w:eastAsia="宋体" w:cs="宋体"/>
                      <w:color w:val="auto"/>
                      <w:szCs w:val="21"/>
                      <w:lang w:val="en-US" w:eastAsia="zh-CN"/>
                    </w:rPr>
                  </w:pPr>
                </w:p>
              </w:tc>
            </w:tr>
          </w:tbl>
          <w:p>
            <w:pPr>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2019年、2020年</w:t>
            </w:r>
            <w:r>
              <w:rPr>
                <w:rFonts w:hint="eastAsia" w:cs="Times New Roman"/>
                <w:sz w:val="24"/>
                <w:szCs w:val="24"/>
                <w:lang w:val="en-US" w:eastAsia="zh-CN"/>
              </w:rPr>
              <w:t>两</w:t>
            </w:r>
            <w:r>
              <w:rPr>
                <w:rFonts w:hint="eastAsia" w:ascii="Times New Roman" w:hAnsi="Times New Roman" w:eastAsia="宋体" w:cs="Times New Roman"/>
                <w:sz w:val="24"/>
                <w:szCs w:val="24"/>
                <w:lang w:val="en-US" w:eastAsia="zh-CN"/>
              </w:rPr>
              <w:t>年用能分析：</w:t>
            </w:r>
          </w:p>
          <w:tbl>
            <w:tblPr>
              <w:tblStyle w:val="11"/>
              <w:tblpPr w:leftFromText="180" w:rightFromText="180" w:vertAnchor="text" w:horzAnchor="page" w:tblpX="89" w:tblpY="2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3627"/>
              <w:gridCol w:w="2599"/>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15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序号</w:t>
                  </w:r>
                </w:p>
              </w:tc>
              <w:tc>
                <w:tcPr>
                  <w:tcW w:w="3627"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 xml:space="preserve">    工序过程</w:t>
                  </w:r>
                </w:p>
              </w:tc>
              <w:tc>
                <w:tcPr>
                  <w:tcW w:w="259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default" w:ascii="宋体" w:hAnsi="宋体" w:eastAsia="宋体" w:cs="宋体"/>
                      <w:color w:val="auto"/>
                      <w:szCs w:val="21"/>
                      <w:lang w:val="en-US" w:eastAsia="zh-CN"/>
                    </w:rPr>
                    <w:t>0</w:t>
                  </w:r>
                  <w:r>
                    <w:rPr>
                      <w:rFonts w:hint="eastAsia" w:ascii="宋体" w:hAnsi="宋体" w:eastAsia="宋体" w:cs="宋体"/>
                      <w:color w:val="auto"/>
                      <w:szCs w:val="21"/>
                      <w:lang w:val="en-US" w:eastAsia="zh-CN"/>
                    </w:rPr>
                    <w:t>19年</w:t>
                  </w:r>
                </w:p>
              </w:tc>
              <w:tc>
                <w:tcPr>
                  <w:tcW w:w="2873"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15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3627" w:type="dxa"/>
                  <w:noWrap w:val="0"/>
                  <w:vAlign w:val="top"/>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生产过程电耗</w:t>
                  </w:r>
                </w:p>
              </w:tc>
              <w:tc>
                <w:tcPr>
                  <w:tcW w:w="259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490257kwh</w:t>
                  </w:r>
                </w:p>
              </w:tc>
              <w:tc>
                <w:tcPr>
                  <w:tcW w:w="2873" w:type="dxa"/>
                  <w:noWrap w:val="0"/>
                  <w:vAlign w:val="top"/>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478395</w:t>
                  </w:r>
                  <w:r>
                    <w:rPr>
                      <w:rFonts w:hint="eastAsia" w:ascii="宋体" w:hAnsi="宋体" w:eastAsia="宋体" w:cs="宋体"/>
                      <w:color w:val="auto"/>
                      <w:szCs w:val="21"/>
                      <w:lang w:val="en-US" w:eastAsia="zh-CN"/>
                    </w:rPr>
                    <w:t>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15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3627"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生产过程综合</w:t>
                  </w:r>
                  <w:r>
                    <w:rPr>
                      <w:rFonts w:hint="default" w:ascii="宋体" w:hAnsi="宋体" w:eastAsia="宋体" w:cs="宋体"/>
                      <w:color w:val="auto"/>
                      <w:szCs w:val="21"/>
                      <w:lang w:val="en-US" w:eastAsia="zh-CN"/>
                    </w:rPr>
                    <w:t>能耗</w:t>
                  </w:r>
                </w:p>
              </w:tc>
              <w:tc>
                <w:tcPr>
                  <w:tcW w:w="259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60252.59kgce</w:t>
                  </w:r>
                </w:p>
              </w:tc>
              <w:tc>
                <w:tcPr>
                  <w:tcW w:w="2873"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58794.75kgce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15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3627"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产值</w:t>
                  </w:r>
                </w:p>
              </w:tc>
              <w:tc>
                <w:tcPr>
                  <w:tcW w:w="2599" w:type="dxa"/>
                  <w:noWrap w:val="0"/>
                  <w:vAlign w:val="top"/>
                </w:tcPr>
                <w:p>
                  <w:pPr>
                    <w:jc w:val="center"/>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8694万</w:t>
                  </w:r>
                  <w:r>
                    <w:rPr>
                      <w:rFonts w:hint="eastAsia" w:ascii="宋体" w:hAnsi="宋体" w:eastAsia="宋体" w:cs="宋体"/>
                      <w:color w:val="auto"/>
                      <w:szCs w:val="21"/>
                      <w:lang w:val="en-US" w:eastAsia="zh-CN"/>
                    </w:rPr>
                    <w:t>元</w:t>
                  </w:r>
                </w:p>
              </w:tc>
              <w:tc>
                <w:tcPr>
                  <w:tcW w:w="2873"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8653</w:t>
                  </w:r>
                  <w:r>
                    <w:rPr>
                      <w:rFonts w:hint="default" w:ascii="宋体" w:hAnsi="宋体" w:eastAsia="宋体" w:cs="宋体"/>
                      <w:color w:val="auto"/>
                      <w:szCs w:val="21"/>
                      <w:lang w:val="en-US" w:eastAsia="zh-CN"/>
                    </w:rPr>
                    <w:t>万</w:t>
                  </w:r>
                  <w:r>
                    <w:rPr>
                      <w:rFonts w:hint="eastAsia" w:ascii="宋体" w:hAnsi="宋体" w:eastAsia="宋体" w:cs="宋体"/>
                      <w:color w:val="auto"/>
                      <w:szCs w:val="21"/>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5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3627"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万元产值综合能耗</w:t>
                  </w:r>
                </w:p>
              </w:tc>
              <w:tc>
                <w:tcPr>
                  <w:tcW w:w="2599"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6.93kgce/</w:t>
                  </w:r>
                  <w:r>
                    <w:rPr>
                      <w:rFonts w:hint="default" w:ascii="宋体" w:hAnsi="宋体" w:eastAsia="宋体" w:cs="宋体"/>
                      <w:color w:val="auto"/>
                      <w:szCs w:val="21"/>
                      <w:lang w:val="en-US" w:eastAsia="zh-CN"/>
                    </w:rPr>
                    <w:t>万</w:t>
                  </w:r>
                  <w:r>
                    <w:rPr>
                      <w:rFonts w:hint="eastAsia" w:ascii="宋体" w:hAnsi="宋体" w:eastAsia="宋体" w:cs="宋体"/>
                      <w:color w:val="auto"/>
                      <w:szCs w:val="21"/>
                      <w:lang w:val="en-US" w:eastAsia="zh-CN"/>
                    </w:rPr>
                    <w:t>元</w:t>
                  </w:r>
                </w:p>
              </w:tc>
              <w:tc>
                <w:tcPr>
                  <w:tcW w:w="2873" w:type="dxa"/>
                  <w:noWrap w:val="0"/>
                  <w:vAlign w:val="top"/>
                </w:tcPr>
                <w:p>
                  <w:pPr>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6.79kgce/</w:t>
                  </w:r>
                  <w:r>
                    <w:rPr>
                      <w:rFonts w:hint="default" w:ascii="宋体" w:hAnsi="宋体" w:eastAsia="宋体" w:cs="宋体"/>
                      <w:color w:val="auto"/>
                      <w:szCs w:val="21"/>
                      <w:lang w:val="en-US" w:eastAsia="zh-CN"/>
                    </w:rPr>
                    <w:t>万</w:t>
                  </w:r>
                  <w:r>
                    <w:rPr>
                      <w:rFonts w:hint="eastAsia" w:ascii="宋体" w:hAnsi="宋体" w:eastAsia="宋体" w:cs="宋体"/>
                      <w:color w:val="auto"/>
                      <w:szCs w:val="21"/>
                      <w:lang w:val="en-US" w:eastAsia="zh-CN"/>
                    </w:rPr>
                    <w:t>元</w:t>
                  </w:r>
                </w:p>
              </w:tc>
            </w:tr>
          </w:tbl>
          <w:p>
            <w:pPr>
              <w:rPr>
                <w:rFonts w:hint="default"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能源基准、能源目标：</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由于2019</w:t>
            </w:r>
            <w:r>
              <w:rPr>
                <w:rFonts w:hint="eastAsia" w:cs="Times New Roman"/>
                <w:sz w:val="24"/>
                <w:szCs w:val="24"/>
                <w:lang w:val="en-US" w:eastAsia="zh-CN"/>
              </w:rPr>
              <w:t>、2020</w:t>
            </w:r>
            <w:r>
              <w:rPr>
                <w:rFonts w:hint="eastAsia" w:ascii="Times New Roman" w:hAnsi="Times New Roman" w:eastAsia="宋体" w:cs="Times New Roman"/>
                <w:sz w:val="24"/>
                <w:szCs w:val="24"/>
                <w:lang w:val="en-US" w:eastAsia="zh-CN"/>
              </w:rPr>
              <w:t>年度生产较为稳定，产品类别等较为均衡，且均能满足法律法规及相关行业限额标准的要求，所以，可考虑以2019年度能源绩效参数的实际数据为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基础，确定能源基准值和能源目标值，即以各工序能源利用的平均水平为基准，以月次好水平为能源目标。（关注政府下达的节能量指标，目标必须满足此下达指标的要求。关注企业自身的能源目标责任制、定额标准考核、上述绩效参数对标存在差距等）</w:t>
            </w:r>
          </w:p>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2020年的能源目标为：6.93kgce/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tc>
        <w:tc>
          <w:tcPr>
            <w:tcW w:w="835" w:type="dxa"/>
          </w:tcPr>
          <w:p/>
          <w:p>
            <w:pPr>
              <w:pStyle w:val="3"/>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6.4 能源绩效参数、</w:t>
            </w:r>
          </w:p>
        </w:tc>
        <w:tc>
          <w:tcPr>
            <w:tcW w:w="960" w:type="dxa"/>
          </w:tcPr>
          <w:p/>
          <w:p>
            <w:pPr>
              <w:pStyle w:val="2"/>
            </w:pPr>
          </w:p>
          <w:p>
            <w:pPr>
              <w:pStyle w:val="2"/>
              <w:ind w:left="0" w:leftChars="0" w:firstLine="0" w:firstLineChars="0"/>
              <w:rPr>
                <w:rFonts w:hint="default" w:eastAsia="宋体"/>
                <w:lang w:val="en-US" w:eastAsia="zh-CN"/>
              </w:rPr>
            </w:pPr>
            <w:r>
              <w:rPr>
                <w:rFonts w:hint="eastAsia"/>
                <w:lang w:val="en-US" w:eastAsia="zh-CN"/>
              </w:rPr>
              <w:t>En6.4</w:t>
            </w:r>
          </w:p>
        </w:tc>
        <w:tc>
          <w:tcPr>
            <w:tcW w:w="10754" w:type="dxa"/>
          </w:tcPr>
          <w:p>
            <w:pPr>
              <w:pStyle w:val="2"/>
              <w:ind w:left="0" w:leftChars="0" w:firstLine="0" w:firstLineChars="0"/>
              <w:rPr>
                <w:rFonts w:hint="eastAsia" w:ascii="Times New Roman" w:hAnsi="Times New Roman" w:eastAsia="宋体" w:cs="Times New Roman"/>
                <w:kern w:val="2"/>
                <w:sz w:val="24"/>
                <w:szCs w:val="24"/>
                <w:lang w:val="en-US" w:eastAsia="zh-CN" w:bidi="ar-SA"/>
              </w:rPr>
            </w:pPr>
          </w:p>
          <w:p>
            <w:pPr>
              <w:pStyle w:val="2"/>
              <w:ind w:left="0" w:leftChars="0" w:firstLine="0" w:firstLineChars="0"/>
              <w:rPr>
                <w:rFonts w:hint="eastAsia" w:ascii="Times New Roman" w:hAnsi="Times New Roman" w:eastAsia="宋体" w:cs="Times New Roman"/>
                <w:kern w:val="2"/>
                <w:sz w:val="24"/>
                <w:szCs w:val="24"/>
                <w:lang w:val="en-US" w:eastAsia="zh-CN" w:bidi="ar-SA"/>
              </w:rPr>
            </w:pPr>
          </w:p>
          <w:p>
            <w:pPr>
              <w:pStyle w:val="2"/>
              <w:ind w:left="0" w:leftChars="0" w:firstLine="0" w:firstLineChars="0"/>
              <w:rPr>
                <w:rFonts w:hint="default" w:ascii="Times New Roman" w:hAnsi="Times New Roman" w:eastAsia="宋体" w:cs="Times New Roman"/>
                <w:kern w:val="2"/>
                <w:sz w:val="24"/>
                <w:szCs w:val="24"/>
                <w:lang w:val="en-US" w:eastAsia="zh-CN" w:bidi="ar-SA"/>
              </w:rPr>
            </w:pPr>
            <w:r>
              <w:rPr>
                <w:rFonts w:hint="eastAsia" w:ascii="宋体" w:hAnsi="宋体" w:eastAsia="宋体" w:cs="宋体"/>
                <w:color w:val="auto"/>
                <w:szCs w:val="21"/>
                <w:lang w:val="en-US" w:eastAsia="zh-CN"/>
              </w:rPr>
              <w:t>万元产值综合能耗</w:t>
            </w:r>
          </w:p>
        </w:tc>
        <w:tc>
          <w:tcPr>
            <w:tcW w:w="835" w:type="dxa"/>
          </w:tcPr>
          <w:p/>
          <w:p>
            <w:pPr>
              <w:pStyle w:val="2"/>
              <w:ind w:left="0" w:leftChars="0" w:firstLine="0" w:firstLineChars="0"/>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rPr>
                <w:rFonts w:hint="eastAsia" w:ascii="宋体" w:hAnsi="宋体"/>
                <w:szCs w:val="21"/>
              </w:rPr>
            </w:pPr>
            <w:r>
              <w:rPr>
                <w:rFonts w:hint="eastAsia" w:ascii="宋体" w:hAnsi="宋体"/>
                <w:szCs w:val="21"/>
              </w:rPr>
              <w:t>6.5 能源基准</w:t>
            </w:r>
            <w:r>
              <w:rPr>
                <w:rFonts w:hint="eastAsia" w:ascii="宋体" w:hAnsi="宋体"/>
                <w:szCs w:val="21"/>
                <w:lang w:eastAsia="zh-CN"/>
              </w:rPr>
              <w:t>、</w:t>
            </w:r>
          </w:p>
        </w:tc>
        <w:tc>
          <w:tcPr>
            <w:tcW w:w="960" w:type="dxa"/>
          </w:tcPr>
          <w:p>
            <w:pPr>
              <w:pStyle w:val="2"/>
              <w:ind w:left="0" w:leftChars="0" w:firstLine="0" w:firstLineChars="0"/>
              <w:rPr>
                <w:rFonts w:hint="default" w:eastAsia="宋体"/>
                <w:lang w:val="en-US" w:eastAsia="zh-CN"/>
              </w:rPr>
            </w:pPr>
            <w:r>
              <w:rPr>
                <w:rFonts w:hint="eastAsia"/>
                <w:lang w:val="en-US" w:eastAsia="zh-CN"/>
              </w:rPr>
              <w:t>En6.5</w:t>
            </w:r>
          </w:p>
        </w:tc>
        <w:tc>
          <w:tcPr>
            <w:tcW w:w="10754" w:type="dxa"/>
          </w:tcPr>
          <w:p>
            <w:pPr>
              <w:pStyle w:val="2"/>
              <w:ind w:left="0" w:leftChars="0" w:firstLine="0" w:firstLineChars="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公司的能源基准为：6.93kgce/</w:t>
            </w:r>
            <w:r>
              <w:rPr>
                <w:rFonts w:hint="default" w:ascii="Times New Roman" w:hAnsi="Times New Roman" w:eastAsia="宋体" w:cs="Times New Roman"/>
                <w:kern w:val="2"/>
                <w:sz w:val="24"/>
                <w:szCs w:val="24"/>
                <w:lang w:val="en-US" w:eastAsia="zh-CN" w:bidi="ar-SA"/>
              </w:rPr>
              <w:t>万</w:t>
            </w:r>
            <w:r>
              <w:rPr>
                <w:rFonts w:hint="eastAsia" w:ascii="Times New Roman" w:hAnsi="Times New Roman" w:eastAsia="宋体" w:cs="Times New Roman"/>
                <w:kern w:val="2"/>
                <w:sz w:val="24"/>
                <w:szCs w:val="24"/>
                <w:lang w:val="en-US" w:eastAsia="zh-CN" w:bidi="ar-SA"/>
              </w:rPr>
              <w:t>元</w:t>
            </w:r>
          </w:p>
        </w:tc>
        <w:tc>
          <w:tcPr>
            <w:tcW w:w="835" w:type="dxa"/>
          </w:tcPr>
          <w:p/>
          <w:p>
            <w:pPr>
              <w:pStyle w:val="2"/>
              <w:ind w:left="0" w:leftChars="0" w:firstLine="210" w:firstLineChars="100"/>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2160" w:type="dxa"/>
          </w:tcPr>
          <w:p>
            <w:pPr>
              <w:rPr>
                <w:rFonts w:hint="eastAsia" w:ascii="宋体" w:hAnsi="宋体"/>
                <w:szCs w:val="21"/>
              </w:rPr>
            </w:pPr>
            <w:r>
              <w:rPr>
                <w:rFonts w:hint="eastAsia" w:ascii="宋体" w:hAnsi="宋体"/>
                <w:szCs w:val="21"/>
              </w:rPr>
              <w:t>6.6 采集能源数据的策划、</w:t>
            </w:r>
          </w:p>
        </w:tc>
        <w:tc>
          <w:tcPr>
            <w:tcW w:w="960" w:type="dxa"/>
          </w:tcPr>
          <w:p>
            <w:pPr>
              <w:rPr>
                <w:rFonts w:hint="eastAsia" w:eastAsia="宋体"/>
                <w:lang w:val="en-US" w:eastAsia="zh-CN"/>
              </w:rPr>
            </w:pPr>
            <w:r>
              <w:rPr>
                <w:rFonts w:hint="eastAsia" w:ascii="宋体" w:hAnsi="宋体"/>
                <w:szCs w:val="21"/>
                <w:lang w:val="en-US" w:eastAsia="zh-CN"/>
              </w:rPr>
              <w:t>En：</w:t>
            </w:r>
            <w:r>
              <w:rPr>
                <w:rFonts w:hint="eastAsia" w:ascii="宋体" w:hAnsi="宋体"/>
                <w:szCs w:val="21"/>
              </w:rPr>
              <w:t>6.</w:t>
            </w:r>
            <w:r>
              <w:rPr>
                <w:rFonts w:hint="eastAsia" w:ascii="宋体" w:hAnsi="宋体"/>
                <w:szCs w:val="21"/>
                <w:lang w:val="en-US" w:eastAsia="zh-CN"/>
              </w:rPr>
              <w:t>6</w:t>
            </w: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采集能源数据的策划：重点是《重点用能单位能源利用状况报告制度实施方案》中提出的12张报表，需要关注国家认监委提出的能源管理绩效统计报表。</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采集能源数据主要有：电耗、工业产值、工业增加值、</w:t>
            </w:r>
            <w:r>
              <w:rPr>
                <w:rFonts w:hint="eastAsia" w:cs="Times New Roman"/>
                <w:sz w:val="24"/>
                <w:szCs w:val="24"/>
                <w:lang w:val="en-US" w:eastAsia="zh-CN"/>
              </w:rPr>
              <w:t>万元产值</w:t>
            </w:r>
            <w:r>
              <w:rPr>
                <w:rFonts w:hint="eastAsia" w:ascii="Times New Roman" w:hAnsi="Times New Roman" w:eastAsia="宋体" w:cs="Times New Roman"/>
                <w:sz w:val="24"/>
                <w:szCs w:val="24"/>
                <w:lang w:val="en-US" w:eastAsia="zh-CN"/>
              </w:rPr>
              <w:t>综合能耗、</w:t>
            </w:r>
            <w:r>
              <w:rPr>
                <w:rFonts w:hint="eastAsia" w:cs="Times New Roman"/>
                <w:sz w:val="24"/>
                <w:szCs w:val="24"/>
                <w:lang w:val="en-US" w:eastAsia="zh-CN"/>
              </w:rPr>
              <w:t>总</w:t>
            </w:r>
            <w:r>
              <w:rPr>
                <w:rFonts w:hint="eastAsia" w:ascii="Times New Roman" w:hAnsi="Times New Roman" w:eastAsia="宋体" w:cs="Times New Roman"/>
                <w:sz w:val="24"/>
                <w:szCs w:val="24"/>
                <w:lang w:val="en-US" w:eastAsia="zh-CN"/>
              </w:rPr>
              <w:t>电耗、万元产值综合能耗；</w:t>
            </w:r>
          </w:p>
        </w:tc>
        <w:tc>
          <w:tcPr>
            <w:tcW w:w="835" w:type="dxa"/>
          </w:tcPr>
          <w:p>
            <w:pPr>
              <w:pStyle w:val="2"/>
              <w:ind w:left="0" w:leftChars="0" w:firstLine="0" w:firstLineChars="0"/>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160" w:type="dxa"/>
          </w:tcPr>
          <w:p>
            <w:pPr>
              <w:rPr>
                <w:rFonts w:hint="eastAsia" w:ascii="宋体" w:hAnsi="宋体"/>
                <w:szCs w:val="21"/>
              </w:rPr>
            </w:pPr>
            <w:r>
              <w:rPr>
                <w:rFonts w:hint="eastAsia" w:ascii="宋体" w:hAnsi="宋体"/>
                <w:szCs w:val="21"/>
                <w:lang w:val="en-US" w:eastAsia="zh-CN"/>
              </w:rPr>
              <w:t>7.4沟通交流、</w:t>
            </w:r>
          </w:p>
        </w:tc>
        <w:tc>
          <w:tcPr>
            <w:tcW w:w="960" w:type="dxa"/>
          </w:tcPr>
          <w:p>
            <w:pPr>
              <w:rPr>
                <w:rFonts w:hint="default" w:eastAsia="宋体"/>
                <w:lang w:val="en-US" w:eastAsia="zh-CN"/>
              </w:rPr>
            </w:pPr>
            <w:r>
              <w:rPr>
                <w:rFonts w:hint="eastAsia" w:ascii="宋体" w:hAnsi="宋体"/>
                <w:szCs w:val="21"/>
                <w:lang w:val="en-US" w:eastAsia="zh-CN"/>
              </w:rPr>
              <w:t>En：7.4</w:t>
            </w: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本部门负责生产部能源信息的传递及交流；通过建立于公司各部门实施和保持适当的信息交流沟通、确保了公司内部以及与外部相关方的联系和回应、保证能源管理体系的有效运行；其中：</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内部信息交流：</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法律法规、标准及其他要求、目标、指标及管理方案的实施、能源基准及能源绩效参数、体系运行的监测结果、内审和管理评审的结果，由运行保障中心传达到各部门； </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另内部能源体系宣传教育包括：节能形势政策；节约能源带来的社会和经济效益；交流节能技术；节能知识竞赛；组建节能小组；征集合理化建议；评选节能先进；</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外部信息交流：</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从相关方收集、接收的能源供应信息及时传递给相关方；上级部门或相关方需要公司能源信息；</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方式：</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会议、公告栏、简报、意见箱、微信群等；</w:t>
            </w:r>
          </w:p>
        </w:tc>
        <w:tc>
          <w:tcPr>
            <w:tcW w:w="835" w:type="dxa"/>
          </w:tc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160" w:type="dxa"/>
          </w:tcPr>
          <w:p>
            <w:pPr>
              <w:rPr>
                <w:rFonts w:hint="eastAsia" w:ascii="宋体" w:hAnsi="宋体"/>
                <w:szCs w:val="21"/>
                <w:lang w:val="en-US" w:eastAsia="zh-CN"/>
              </w:rPr>
            </w:pPr>
            <w:r>
              <w:rPr>
                <w:rFonts w:hint="eastAsia" w:ascii="宋体" w:hAnsi="宋体"/>
                <w:color w:val="FF0000"/>
                <w:szCs w:val="21"/>
              </w:rPr>
              <w:t>8.1 运行的策划和控制、</w:t>
            </w:r>
          </w:p>
        </w:tc>
        <w:tc>
          <w:tcPr>
            <w:tcW w:w="960" w:type="dxa"/>
          </w:tcPr>
          <w:p>
            <w:pPr>
              <w:rPr>
                <w:rFonts w:hint="default"/>
                <w:lang w:val="en-US"/>
              </w:rPr>
            </w:pPr>
            <w:r>
              <w:rPr>
                <w:rFonts w:hint="eastAsia" w:ascii="宋体" w:hAnsi="宋体"/>
                <w:szCs w:val="21"/>
                <w:lang w:val="en-US" w:eastAsia="zh-CN"/>
              </w:rPr>
              <w:t>En：8.1</w:t>
            </w:r>
          </w:p>
        </w:tc>
        <w:tc>
          <w:tcPr>
            <w:tcW w:w="10754" w:type="dxa"/>
          </w:tcPr>
          <w:p>
            <w:pPr>
              <w:rPr>
                <w:rFonts w:hint="eastAsia" w:cs="Times New Roman"/>
                <w:sz w:val="24"/>
                <w:szCs w:val="24"/>
                <w:lang w:val="en-US" w:eastAsia="zh-CN"/>
              </w:rPr>
            </w:pPr>
            <w:r>
              <w:rPr>
                <w:rFonts w:hint="eastAsia" w:ascii="Times New Roman" w:hAnsi="Times New Roman" w:eastAsia="宋体" w:cs="Times New Roman"/>
                <w:sz w:val="24"/>
                <w:szCs w:val="24"/>
                <w:lang w:val="en-US" w:eastAsia="zh-CN"/>
              </w:rPr>
              <w:t>编制了《能源管理制度》、《</w:t>
            </w:r>
            <w:r>
              <w:rPr>
                <w:rFonts w:hint="eastAsia" w:cs="Times New Roman"/>
                <w:sz w:val="24"/>
                <w:szCs w:val="24"/>
                <w:lang w:val="en-US" w:eastAsia="zh-CN"/>
              </w:rPr>
              <w:t>计划生产（外购）审批单</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-货物清单</w:t>
            </w:r>
          </w:p>
          <w:p>
            <w:pPr>
              <w:rPr>
                <w:rFonts w:hint="eastAsia" w:cs="Times New Roman"/>
                <w:sz w:val="24"/>
                <w:szCs w:val="24"/>
                <w:lang w:val="en-US" w:eastAsia="zh-CN"/>
              </w:rPr>
            </w:pPr>
            <w:r>
              <w:rPr>
                <w:rFonts w:hint="eastAsia" w:cs="Times New Roman"/>
                <w:sz w:val="24"/>
                <w:szCs w:val="24"/>
                <w:lang w:val="en-US" w:eastAsia="zh-CN"/>
              </w:rPr>
              <w:t>客户名称：秀湖集团国鸿检测中心</w:t>
            </w:r>
          </w:p>
          <w:p>
            <w:pPr>
              <w:rPr>
                <w:rFonts w:hint="eastAsia" w:cs="Times New Roman"/>
                <w:sz w:val="24"/>
                <w:szCs w:val="24"/>
                <w:lang w:val="en-US" w:eastAsia="zh-CN"/>
              </w:rPr>
            </w:pPr>
            <w:r>
              <w:rPr>
                <w:rFonts w:hint="eastAsia" w:cs="Times New Roman"/>
                <w:sz w:val="24"/>
                <w:szCs w:val="24"/>
                <w:lang w:val="en-US" w:eastAsia="zh-CN"/>
              </w:rPr>
              <w:t>产品名称：高低铺（配2张3cm厚床垫）、衣柜、椅子、4人间桌子；</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drawing>
                <wp:inline distT="0" distB="0" distL="114300" distR="114300">
                  <wp:extent cx="4210685" cy="5121275"/>
                  <wp:effectExtent l="0" t="0" r="5715" b="9525"/>
                  <wp:docPr id="6" name="图片 6" descr="7878f8f56a859730a67df90c5fbe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78f8f56a859730a67df90c5fbeca8"/>
                          <pic:cNvPicPr>
                            <a:picLocks noChangeAspect="1"/>
                          </pic:cNvPicPr>
                        </pic:nvPicPr>
                        <pic:blipFill>
                          <a:blip r:embed="rId11"/>
                          <a:stretch>
                            <a:fillRect/>
                          </a:stretch>
                        </pic:blipFill>
                        <pic:spPr>
                          <a:xfrm>
                            <a:off x="0" y="0"/>
                            <a:ext cx="4210685" cy="5121275"/>
                          </a:xfrm>
                          <a:prstGeom prst="rect">
                            <a:avLst/>
                          </a:prstGeom>
                        </pic:spPr>
                      </pic:pic>
                    </a:graphicData>
                  </a:graphic>
                </wp:inline>
              </w:drawing>
            </w: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4217670" cy="5224780"/>
                  <wp:effectExtent l="0" t="0" r="11430" b="7620"/>
                  <wp:docPr id="7" name="图片 7" descr="395545c56988938bad5752e13fd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5545c56988938bad5752e13fd1673"/>
                          <pic:cNvPicPr>
                            <a:picLocks noChangeAspect="1"/>
                          </pic:cNvPicPr>
                        </pic:nvPicPr>
                        <pic:blipFill>
                          <a:blip r:embed="rId12"/>
                          <a:stretch>
                            <a:fillRect/>
                          </a:stretch>
                        </pic:blipFill>
                        <pic:spPr>
                          <a:xfrm>
                            <a:off x="0" y="0"/>
                            <a:ext cx="4217670" cy="5224780"/>
                          </a:xfrm>
                          <a:prstGeom prst="rect">
                            <a:avLst/>
                          </a:prstGeom>
                        </pic:spPr>
                      </pic:pic>
                    </a:graphicData>
                  </a:graphic>
                </wp:inline>
              </w:drawing>
            </w:r>
          </w:p>
          <w:p>
            <w:pPr>
              <w:pStyle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4224655" cy="5194300"/>
                  <wp:effectExtent l="0" t="0" r="4445" b="0"/>
                  <wp:docPr id="8" name="图片 8" descr="af77ea4ed85626d5d6d4e578d1ea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f77ea4ed85626d5d6d4e578d1eaf8d"/>
                          <pic:cNvPicPr>
                            <a:picLocks noChangeAspect="1"/>
                          </pic:cNvPicPr>
                        </pic:nvPicPr>
                        <pic:blipFill>
                          <a:blip r:embed="rId13"/>
                          <a:stretch>
                            <a:fillRect/>
                          </a:stretch>
                        </pic:blipFill>
                        <pic:spPr>
                          <a:xfrm>
                            <a:off x="0" y="0"/>
                            <a:ext cx="4224655" cy="5194300"/>
                          </a:xfrm>
                          <a:prstGeom prst="rect">
                            <a:avLst/>
                          </a:prstGeom>
                        </pic:spPr>
                      </pic:pic>
                    </a:graphicData>
                  </a:graphic>
                </wp:inline>
              </w:drawing>
            </w:r>
          </w:p>
          <w:p>
            <w:pPr>
              <w:rPr>
                <w:rFonts w:hint="eastAsia" w:cs="Times New Roman"/>
                <w:sz w:val="24"/>
                <w:szCs w:val="24"/>
                <w:lang w:val="en-US" w:eastAsia="zh-CN"/>
              </w:rPr>
            </w:pPr>
            <w:r>
              <w:rPr>
                <w:rFonts w:hint="eastAsia" w:cs="Times New Roman"/>
                <w:sz w:val="24"/>
                <w:szCs w:val="24"/>
                <w:lang w:val="en-US" w:eastAsia="zh-CN"/>
              </w:rPr>
              <w:t>抽查《个人产能记录表》</w:t>
            </w:r>
          </w:p>
          <w:p>
            <w:pPr>
              <w:pStyle w:val="2"/>
              <w:rPr>
                <w:rFonts w:hint="default"/>
                <w:lang w:val="en-US" w:eastAsia="zh-CN"/>
              </w:rPr>
            </w:pPr>
            <w:r>
              <w:rPr>
                <w:rFonts w:hint="default"/>
                <w:lang w:val="en-US" w:eastAsia="zh-CN"/>
              </w:rPr>
              <w:drawing>
                <wp:inline distT="0" distB="0" distL="114300" distR="114300">
                  <wp:extent cx="3627755" cy="5042535"/>
                  <wp:effectExtent l="0" t="0" r="4445" b="12065"/>
                  <wp:docPr id="9" name="图片 9" descr="238c1d1917ccaa89017a3382885b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8c1d1917ccaa89017a3382885ba91"/>
                          <pic:cNvPicPr>
                            <a:picLocks noChangeAspect="1"/>
                          </pic:cNvPicPr>
                        </pic:nvPicPr>
                        <pic:blipFill>
                          <a:blip r:embed="rId14"/>
                          <a:stretch>
                            <a:fillRect/>
                          </a:stretch>
                        </pic:blipFill>
                        <pic:spPr>
                          <a:xfrm>
                            <a:off x="0" y="0"/>
                            <a:ext cx="3627755" cy="5042535"/>
                          </a:xfrm>
                          <a:prstGeom prst="rect">
                            <a:avLst/>
                          </a:prstGeom>
                        </pic:spPr>
                      </pic:pic>
                    </a:graphicData>
                  </a:graphic>
                </wp:inline>
              </w:drawing>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3813175" cy="5344795"/>
                  <wp:effectExtent l="0" t="0" r="9525" b="1905"/>
                  <wp:docPr id="10" name="图片 10" descr="e404f66824f2daee6569c9c5d943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404f66824f2daee6569c9c5d943ad2"/>
                          <pic:cNvPicPr>
                            <a:picLocks noChangeAspect="1"/>
                          </pic:cNvPicPr>
                        </pic:nvPicPr>
                        <pic:blipFill>
                          <a:blip r:embed="rId15"/>
                          <a:stretch>
                            <a:fillRect/>
                          </a:stretch>
                        </pic:blipFill>
                        <pic:spPr>
                          <a:xfrm>
                            <a:off x="0" y="0"/>
                            <a:ext cx="3813175" cy="5344795"/>
                          </a:xfrm>
                          <a:prstGeom prst="rect">
                            <a:avLst/>
                          </a:prstGeom>
                        </pic:spPr>
                      </pic:pic>
                    </a:graphicData>
                  </a:graphic>
                </wp:inline>
              </w:drawing>
            </w:r>
            <w:r>
              <w:rPr>
                <w:rFonts w:hint="eastAsia" w:ascii="Times New Roman" w:hAnsi="Times New Roman" w:eastAsia="宋体" w:cs="Times New Roman"/>
                <w:sz w:val="24"/>
                <w:szCs w:val="24"/>
                <w:lang w:val="en-US" w:eastAsia="zh-CN"/>
              </w:rPr>
              <w:t>：</w:t>
            </w:r>
          </w:p>
          <w:p>
            <w:pPr>
              <w:rPr>
                <w:rFonts w:hint="default"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有生产设备维护保养规程和设备维护保养记录，生产设备都按照要求进行维护保养；</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主要能源消耗：电力；</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现场查计算机显示各设备的运行状况、车辆出入的记录跟踪、人员操作严格规定等、未发现人员设备操作运行违反节能降耗规定的情况；</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提供了通用</w:t>
            </w:r>
            <w:r>
              <w:rPr>
                <w:rFonts w:hint="eastAsia" w:cs="Times New Roman"/>
                <w:sz w:val="24"/>
                <w:szCs w:val="24"/>
                <w:lang w:val="en-US" w:eastAsia="zh-CN"/>
              </w:rPr>
              <w:t>机电</w:t>
            </w:r>
            <w:r>
              <w:rPr>
                <w:rFonts w:hint="eastAsia" w:ascii="Times New Roman" w:hAnsi="Times New Roman" w:eastAsia="宋体" w:cs="Times New Roman"/>
                <w:sz w:val="24"/>
                <w:szCs w:val="24"/>
                <w:lang w:val="en-US" w:eastAsia="zh-CN"/>
              </w:rPr>
              <w:t>设备清单，对照工信部《高耗能落后机电设备（产品）淘汰目录（第1-4批）》未发现设备清单中有属于淘汰目录中的通用设备。我厂使用的高效节能通用设备有节能型空压机、变频调速器、电机等。</w:t>
            </w:r>
          </w:p>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抽查能源计量设备校检情况：两块电表分别属于当地电网一块、天逸光伏公司一块。</w:t>
            </w:r>
          </w:p>
          <w:p>
            <w:pPr>
              <w:rPr>
                <w:rFonts w:hint="default" w:ascii="Times New Roman" w:hAnsi="Times New Roman" w:eastAsia="宋体" w:cs="Times New Roman"/>
                <w:sz w:val="24"/>
                <w:szCs w:val="24"/>
                <w:lang w:val="en-US" w:eastAsia="zh-CN"/>
              </w:rPr>
            </w:pPr>
          </w:p>
        </w:tc>
        <w:tc>
          <w:tcPr>
            <w:tcW w:w="835" w:type="dxa"/>
          </w:tc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160" w:type="dxa"/>
          </w:tcPr>
          <w:p>
            <w:pPr>
              <w:rPr>
                <w:rFonts w:hint="default" w:ascii="宋体" w:hAnsi="宋体" w:eastAsia="宋体"/>
                <w:color w:val="FF0000"/>
                <w:szCs w:val="21"/>
                <w:lang w:val="en-US" w:eastAsia="zh-CN"/>
              </w:rPr>
            </w:pPr>
            <w:r>
              <w:rPr>
                <w:rFonts w:hint="eastAsia" w:ascii="宋体" w:hAnsi="宋体"/>
                <w:color w:val="FF0000"/>
                <w:szCs w:val="21"/>
                <w:lang w:val="en-US" w:eastAsia="zh-CN"/>
              </w:rPr>
              <w:t>不符合和纠正措施</w:t>
            </w:r>
          </w:p>
        </w:tc>
        <w:tc>
          <w:tcPr>
            <w:tcW w:w="960" w:type="dxa"/>
          </w:tcPr>
          <w:p>
            <w:pPr>
              <w:rPr>
                <w:rFonts w:hint="default" w:ascii="宋体" w:hAnsi="宋体"/>
                <w:szCs w:val="21"/>
                <w:lang w:val="en-US" w:eastAsia="zh-CN"/>
              </w:rPr>
            </w:pPr>
            <w:r>
              <w:rPr>
                <w:rFonts w:hint="eastAsia" w:ascii="宋体" w:hAnsi="宋体"/>
                <w:szCs w:val="21"/>
                <w:lang w:val="en-US" w:eastAsia="zh-CN"/>
              </w:rPr>
              <w:t>En：10.1</w:t>
            </w:r>
          </w:p>
        </w:tc>
        <w:tc>
          <w:tcPr>
            <w:tcW w:w="10754" w:type="dxa"/>
          </w:tcPr>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2020年、2021年</w:t>
            </w:r>
            <w:r>
              <w:rPr>
                <w:rFonts w:hint="eastAsia" w:ascii="Times New Roman" w:hAnsi="Times New Roman" w:eastAsia="宋体" w:cs="Times New Roman"/>
                <w:sz w:val="24"/>
                <w:szCs w:val="24"/>
                <w:lang w:val="en-US" w:eastAsia="zh-CN"/>
              </w:rPr>
              <w:t>公司的能源目标为：万元产值综合能耗≦6.93kgce/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2020年能源目标完成情况为：6.79kgce/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2021年1-4月份能源目标完成情况为：</w:t>
            </w:r>
            <w:r>
              <w:rPr>
                <w:rFonts w:hint="eastAsia" w:cs="Times New Roman"/>
                <w:sz w:val="24"/>
                <w:szCs w:val="24"/>
                <w:lang w:val="en-US" w:eastAsia="zh-CN"/>
              </w:rPr>
              <w:t>8.60</w:t>
            </w:r>
            <w:r>
              <w:rPr>
                <w:rFonts w:hint="eastAsia" w:ascii="Times New Roman" w:hAnsi="Times New Roman" w:eastAsia="宋体" w:cs="Times New Roman"/>
                <w:sz w:val="24"/>
                <w:szCs w:val="24"/>
                <w:lang w:val="en-US" w:eastAsia="zh-CN"/>
              </w:rPr>
              <w:t>kgce/</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元.</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2021年1-4月份能源</w:t>
            </w:r>
            <w:r>
              <w:rPr>
                <w:rFonts w:hint="eastAsia" w:cs="Times New Roman"/>
                <w:sz w:val="24"/>
                <w:szCs w:val="24"/>
                <w:lang w:val="en-US" w:eastAsia="zh-CN"/>
              </w:rPr>
              <w:t>超标</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没有对超目标进行原因分析及制定纠正措施。</w:t>
            </w:r>
          </w:p>
        </w:tc>
        <w:tc>
          <w:tcPr>
            <w:tcW w:w="835" w:type="dxa"/>
          </w:tcPr>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default"/>
                <w:lang w:val="en-US" w:eastAsia="zh-CN"/>
              </w:rPr>
            </w:pPr>
            <w:r>
              <w:rPr>
                <w:rFonts w:hint="eastAsia"/>
                <w:lang w:val="en-US" w:eastAsia="zh-CN"/>
              </w:rPr>
              <w:t>N</w:t>
            </w:r>
            <w:bookmarkStart w:id="23" w:name="_GoBack"/>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tcPr>
          <w:p>
            <w:pPr>
              <w:rPr>
                <w:rFonts w:hint="eastAsia" w:ascii="宋体" w:hAnsi="宋体"/>
                <w:szCs w:val="21"/>
              </w:rPr>
            </w:pPr>
            <w:r>
              <w:rPr>
                <w:rFonts w:hint="eastAsia" w:ascii="宋体" w:hAnsi="宋体"/>
                <w:szCs w:val="21"/>
              </w:rPr>
              <w:t>10.2 持续改进</w:t>
            </w:r>
          </w:p>
        </w:tc>
        <w:tc>
          <w:tcPr>
            <w:tcW w:w="960" w:type="dxa"/>
          </w:tcPr>
          <w:p>
            <w:pPr>
              <w:rPr>
                <w:rFonts w:hint="default"/>
                <w:lang w:val="en-US"/>
              </w:rPr>
            </w:pPr>
            <w:r>
              <w:rPr>
                <w:rFonts w:hint="eastAsia" w:ascii="宋体" w:hAnsi="宋体"/>
                <w:szCs w:val="21"/>
                <w:lang w:val="en-US" w:eastAsia="zh-CN"/>
              </w:rPr>
              <w:t>En：10.2</w:t>
            </w: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对每月对能源目标的考核、每年的内部审核和外部审核及管理评审确定公司的能源管理体系存在的问题，特别是能源消耗方面比较突出的问题，及时制定纠正措施或能源挂历方案，持续改进公司的能源消耗情况，适宜性、充分性和有效性——基本满足标准的要求，组织的持续改进绩效明显；</w:t>
            </w:r>
          </w:p>
        </w:tc>
        <w:tc>
          <w:tcPr>
            <w:tcW w:w="835" w:type="dxa"/>
          </w:tcPr>
          <w:p/>
        </w:tc>
      </w:tr>
    </w:tbl>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24"/>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过程与活动、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抽样计划</w:t>
            </w:r>
          </w:p>
        </w:tc>
        <w:tc>
          <w:tcPr>
            <w:tcW w:w="960" w:type="dxa"/>
            <w:vMerge w:val="restart"/>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涉及</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条款</w:t>
            </w:r>
          </w:p>
        </w:tc>
        <w:tc>
          <w:tcPr>
            <w:tcW w:w="10824" w:type="dxa"/>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受审核部门：</w:t>
            </w:r>
            <w:r>
              <w:rPr>
                <w:rFonts w:hint="eastAsia" w:cs="Times New Roman"/>
                <w:sz w:val="24"/>
                <w:szCs w:val="24"/>
                <w:lang w:val="en-US" w:eastAsia="zh-CN"/>
              </w:rPr>
              <w:t>设计部</w:t>
            </w:r>
            <w:r>
              <w:rPr>
                <w:rFonts w:hint="eastAsia" w:ascii="Times New Roman" w:hAnsi="Times New Roman" w:eastAsia="宋体" w:cs="Times New Roman"/>
                <w:sz w:val="24"/>
                <w:szCs w:val="24"/>
                <w:lang w:val="en-US" w:eastAsia="zh-CN"/>
              </w:rPr>
              <w:t xml:space="preserve">    主管领导：         陪同人员：</w:t>
            </w:r>
            <w:r>
              <w:rPr>
                <w:rFonts w:hint="eastAsia" w:cs="Times New Roman"/>
                <w:sz w:val="24"/>
                <w:szCs w:val="24"/>
                <w:lang w:val="en-US" w:eastAsia="zh-CN"/>
              </w:rPr>
              <w:t>张雅娟</w:t>
            </w:r>
          </w:p>
        </w:tc>
        <w:tc>
          <w:tcPr>
            <w:tcW w:w="765" w:type="dxa"/>
            <w:vMerge w:val="restart"/>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4"/>
                <w:szCs w:val="24"/>
                <w:lang w:val="en-US" w:eastAsia="zh-CN"/>
              </w:rPr>
            </w:pPr>
          </w:p>
        </w:tc>
        <w:tc>
          <w:tcPr>
            <w:tcW w:w="960" w:type="dxa"/>
            <w:vMerge w:val="continue"/>
            <w:vAlign w:val="center"/>
          </w:tcPr>
          <w:p>
            <w:pPr>
              <w:rPr>
                <w:rFonts w:hint="eastAsia" w:ascii="Times New Roman" w:hAnsi="Times New Roman" w:eastAsia="宋体" w:cs="Times New Roman"/>
                <w:sz w:val="24"/>
                <w:szCs w:val="24"/>
                <w:lang w:val="en-US" w:eastAsia="zh-CN"/>
              </w:rPr>
            </w:pPr>
          </w:p>
        </w:tc>
        <w:tc>
          <w:tcPr>
            <w:tcW w:w="10824"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审核员：周涛、</w:t>
            </w:r>
            <w:r>
              <w:rPr>
                <w:rFonts w:hint="eastAsia" w:cs="Times New Roman"/>
                <w:sz w:val="24"/>
                <w:szCs w:val="24"/>
                <w:lang w:val="en-US" w:eastAsia="zh-CN"/>
              </w:rPr>
              <w:t>潘斯贴</w:t>
            </w:r>
            <w:r>
              <w:rPr>
                <w:rFonts w:hint="eastAsia" w:ascii="Times New Roman" w:hAnsi="Times New Roman" w:eastAsia="宋体" w:cs="Times New Roman"/>
                <w:sz w:val="24"/>
                <w:szCs w:val="24"/>
                <w:lang w:val="en-US" w:eastAsia="zh-CN"/>
              </w:rPr>
              <w:t xml:space="preserve">      审核时间：2021.</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17</w:t>
            </w:r>
          </w:p>
        </w:tc>
        <w:tc>
          <w:tcPr>
            <w:tcW w:w="765" w:type="dxa"/>
            <w:vMerge w:val="continue"/>
          </w:tcPr>
          <w:p>
            <w:pP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4"/>
                <w:szCs w:val="24"/>
                <w:lang w:val="en-US" w:eastAsia="zh-CN"/>
              </w:rPr>
            </w:pPr>
          </w:p>
        </w:tc>
        <w:tc>
          <w:tcPr>
            <w:tcW w:w="960" w:type="dxa"/>
            <w:vMerge w:val="continue"/>
            <w:vAlign w:val="center"/>
          </w:tcPr>
          <w:p>
            <w:pPr>
              <w:rPr>
                <w:rFonts w:hint="eastAsia" w:ascii="Times New Roman" w:hAnsi="Times New Roman" w:eastAsia="宋体" w:cs="Times New Roman"/>
                <w:sz w:val="24"/>
                <w:szCs w:val="24"/>
                <w:lang w:val="en-US" w:eastAsia="zh-CN"/>
              </w:rPr>
            </w:pPr>
          </w:p>
        </w:tc>
        <w:tc>
          <w:tcPr>
            <w:tcW w:w="10824" w:type="dxa"/>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审核条款：5.3 组织的岗位、职责和权限、6.2 目标、能源指及其实现的策划、8.2设计、10.1 不符合与纠正措施</w:t>
            </w:r>
          </w:p>
        </w:tc>
        <w:tc>
          <w:tcPr>
            <w:tcW w:w="765" w:type="dxa"/>
            <w:vMerge w:val="continue"/>
          </w:tcPr>
          <w:p>
            <w:pP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组织的岗位、职责和权限、</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5.3 </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负责人：李龙彪</w:t>
            </w:r>
          </w:p>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设计部</w:t>
            </w:r>
            <w:r>
              <w:rPr>
                <w:rFonts w:hint="eastAsia" w:ascii="Times New Roman" w:hAnsi="Times New Roman" w:eastAsia="宋体" w:cs="Times New Roman"/>
                <w:sz w:val="24"/>
                <w:szCs w:val="24"/>
                <w:lang w:val="en-US" w:eastAsia="zh-CN"/>
              </w:rPr>
              <w:t>职责：</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1、负责节能新技术和方法、新能源和可再生能源技术的推广和应用；</w:t>
            </w:r>
          </w:p>
          <w:p>
            <w:pPr>
              <w:rPr>
                <w:rFonts w:hint="eastAsia" w:ascii="Times New Roman" w:hAnsi="Times New Roman" w:eastAsia="宋体" w:cs="Times New Roman"/>
                <w:sz w:val="24"/>
                <w:szCs w:val="24"/>
                <w:lang w:val="en-US" w:eastAsia="zh-CN"/>
              </w:rPr>
            </w:pPr>
          </w:p>
        </w:tc>
        <w:tc>
          <w:tcPr>
            <w:tcW w:w="765"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目标、能源指及其实现的策划、</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6.2 </w:t>
            </w:r>
          </w:p>
        </w:tc>
        <w:tc>
          <w:tcPr>
            <w:tcW w:w="10824" w:type="dxa"/>
          </w:tcPr>
          <w:p>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设计部</w:t>
            </w:r>
            <w:r>
              <w:rPr>
                <w:rFonts w:hint="eastAsia" w:ascii="Times New Roman" w:hAnsi="Times New Roman" w:eastAsia="宋体" w:cs="Times New Roman"/>
                <w:sz w:val="24"/>
                <w:szCs w:val="24"/>
                <w:lang w:val="en-US" w:eastAsia="zh-CN"/>
              </w:rPr>
              <w:t>没有制定本部门的能源目标，执行公司的《管理目标》</w:t>
            </w:r>
          </w:p>
          <w:p>
            <w:pPr>
              <w:rPr>
                <w:rFonts w:hint="eastAsia" w:ascii="Times New Roman" w:hAnsi="Times New Roman" w:eastAsia="宋体" w:cs="Times New Roman"/>
                <w:sz w:val="24"/>
                <w:szCs w:val="24"/>
                <w:lang w:val="en-US" w:eastAsia="zh-CN"/>
              </w:rPr>
            </w:pPr>
          </w:p>
        </w:tc>
        <w:tc>
          <w:tcPr>
            <w:tcW w:w="765" w:type="dxa"/>
          </w:tcPr>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设计、</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8.2</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制定并执行《设计控制程序》，考虑能源性能改进机会和在设计新的、改进的和翻新的设施、设备、系统和能源使用过程时的操作控制，这些过程在计划或预期的使用寿命内可能对其能源性能产生重大影响。</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在适用的情况下，能源性能考虑的结果应纳入规范、设计和采购活动。</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设计研发项目过程分为：小试——中试——批量生产</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项目可行性报告，包括：项目主要内容、目的意义、国内外发展趋势、项目可行性论证、拟解决的关键技术问题及前期工作基础、风险评估（技术风险、知识产权风险、市场风险、其他风险）与规避措施、项目实施计划、方案、人员组成、工作进度、预期成果等。</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提供：项目阶段评审表，评审项目中包括了符合HSE要求，符合相关法律法规，建议增加节能的要求，已与企业进行沟通。</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抽查：有项目扩大规模报告，待批准后扩大生产规模，减少能源消耗。</w:t>
            </w:r>
          </w:p>
          <w:p>
            <w:pP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经检查2020年至今没有关于节能方面的设计方案。</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基本符合要求。</w:t>
            </w:r>
          </w:p>
        </w:tc>
        <w:tc>
          <w:tcPr>
            <w:tcW w:w="765" w:type="dxa"/>
          </w:tcPr>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不符合与纠正措施</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10.1 </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制定并实施《不符合及纠正措施控制程序》，当发现不符合项时，应:</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a)对不符合项作出反应，并在适用时:</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1)采取行动控制和纠正;2)处理后果;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b)评估采取行动消除不合格原因的必要性，以使不合格事件不再发生或在其他地方发生，方法如下:</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1)评审不合格;2)不合格原因的确定;3〕确定类似不符合存在,或可能发生;</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c)执行所需的任何行动;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d)审查任何纠正措施的有效性;</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e)必要时对EnMS进行更改。</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纠正措施应与所遇到的不合格的影响相适应。应保留以下文件资料:</w:t>
            </w:r>
          </w:p>
        </w:tc>
        <w:tc>
          <w:tcPr>
            <w:tcW w:w="765" w:type="dxa"/>
          </w:tcPr>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y</w:t>
            </w:r>
          </w:p>
        </w:tc>
      </w:tr>
    </w:tbl>
    <w:p>
      <w:pPr>
        <w:pStyle w:val="8"/>
      </w:pPr>
    </w:p>
    <w:p>
      <w:pPr>
        <w:pStyle w:val="8"/>
      </w:pPr>
    </w:p>
    <w:p>
      <w:pPr>
        <w:pStyle w:val="8"/>
      </w:pPr>
    </w:p>
    <w:p>
      <w:pPr>
        <w:pStyle w:val="8"/>
      </w:pPr>
    </w:p>
    <w:p>
      <w:pPr>
        <w:pStyle w:val="8"/>
      </w:pPr>
    </w:p>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EGquXWAAAACgEAAA8AAAAAAAAAAQAgAAAAIgAAAGRycy9kb3ducmV2Lnht&#10;bFBLAQIUABQAAAAIAIdO4kBMBgIRwgEAAHcDAAAOAAAAAAAAAAEAIAAAACUBAABkcnMvZTJvRG9j&#10;LnhtbFBLBQYAAAAABgAGAFkBAABZ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6"/>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7356D3"/>
    <w:multiLevelType w:val="singleLevel"/>
    <w:tmpl w:val="AE7356D3"/>
    <w:lvl w:ilvl="0" w:tentative="0">
      <w:start w:val="1"/>
      <w:numFmt w:val="decimal"/>
      <w:suff w:val="nothing"/>
      <w:lvlText w:val="（%1）"/>
      <w:lvlJc w:val="left"/>
      <w:rPr>
        <w:rFonts w:cs="Times New Roman"/>
      </w:rPr>
    </w:lvl>
  </w:abstractNum>
  <w:abstractNum w:abstractNumId="1">
    <w:nsid w:val="00000041"/>
    <w:multiLevelType w:val="multilevel"/>
    <w:tmpl w:val="00000041"/>
    <w:lvl w:ilvl="0" w:tentative="0">
      <w:start w:val="1"/>
      <w:numFmt w:val="chineseCountingThousand"/>
      <w:isLgl/>
      <w:lvlText w:val="%1  "/>
      <w:lvlJc w:val="left"/>
      <w:pPr>
        <w:tabs>
          <w:tab w:val="left" w:pos="720"/>
        </w:tabs>
        <w:ind w:left="0" w:firstLine="0"/>
      </w:pPr>
      <w:rPr>
        <w:rFonts w:hint="eastAsia"/>
      </w:rPr>
    </w:lvl>
    <w:lvl w:ilvl="1" w:tentative="0">
      <w:start w:val="1"/>
      <w:numFmt w:val="decimal"/>
      <w:pStyle w:val="5"/>
      <w:isLgl/>
      <w:lvlText w:val="%1.%2"/>
      <w:lvlJc w:val="left"/>
      <w:pPr>
        <w:tabs>
          <w:tab w:val="left" w:pos="720"/>
        </w:tabs>
        <w:ind w:left="0" w:firstLine="0"/>
      </w:pPr>
      <w:rPr>
        <w:rFonts w:hint="eastAsia"/>
      </w:rPr>
    </w:lvl>
    <w:lvl w:ilvl="2" w:tentative="0">
      <w:start w:val="1"/>
      <w:numFmt w:val="decimal"/>
      <w:isLgl/>
      <w:lvlText w:val="%1.%2.%3"/>
      <w:lvlJc w:val="left"/>
      <w:pPr>
        <w:tabs>
          <w:tab w:val="left" w:pos="1080"/>
        </w:tabs>
        <w:ind w:left="0" w:firstLine="0"/>
      </w:pPr>
      <w:rPr>
        <w:rFonts w:hint="eastAsia"/>
      </w:rPr>
    </w:lvl>
    <w:lvl w:ilvl="3" w:tentative="0">
      <w:start w:val="1"/>
      <w:numFmt w:val="decimal"/>
      <w:isLgl/>
      <w:lvlText w:val="%1.%2.%3.%4"/>
      <w:lvlJc w:val="left"/>
      <w:pPr>
        <w:tabs>
          <w:tab w:val="left" w:pos="1440"/>
        </w:tabs>
        <w:ind w:left="0" w:firstLine="0"/>
      </w:pPr>
      <w:rPr>
        <w:rFonts w:hint="eastAsia"/>
      </w:rPr>
    </w:lvl>
    <w:lvl w:ilvl="4" w:tentative="0">
      <w:start w:val="1"/>
      <w:numFmt w:val="decimal"/>
      <w:isLgl/>
      <w:lvlText w:val="%1.%2.%3.%4.%5"/>
      <w:lvlJc w:val="left"/>
      <w:pPr>
        <w:tabs>
          <w:tab w:val="left" w:pos="180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2345E"/>
    <w:rsid w:val="055506B3"/>
    <w:rsid w:val="08792CFD"/>
    <w:rsid w:val="09234692"/>
    <w:rsid w:val="0BE9253E"/>
    <w:rsid w:val="0D4A78E2"/>
    <w:rsid w:val="11121520"/>
    <w:rsid w:val="11C67A86"/>
    <w:rsid w:val="126B407E"/>
    <w:rsid w:val="13DA5513"/>
    <w:rsid w:val="15580819"/>
    <w:rsid w:val="18165F36"/>
    <w:rsid w:val="1DD05F06"/>
    <w:rsid w:val="1E52507B"/>
    <w:rsid w:val="206227B1"/>
    <w:rsid w:val="20801DC1"/>
    <w:rsid w:val="21F86DA8"/>
    <w:rsid w:val="233521EC"/>
    <w:rsid w:val="23D564AD"/>
    <w:rsid w:val="25E27B35"/>
    <w:rsid w:val="26952104"/>
    <w:rsid w:val="27BD4E8D"/>
    <w:rsid w:val="292317B6"/>
    <w:rsid w:val="2A100386"/>
    <w:rsid w:val="2B7238FC"/>
    <w:rsid w:val="2C770167"/>
    <w:rsid w:val="340864CC"/>
    <w:rsid w:val="35E34133"/>
    <w:rsid w:val="36184DDC"/>
    <w:rsid w:val="37E964B2"/>
    <w:rsid w:val="38153CF4"/>
    <w:rsid w:val="38BC3734"/>
    <w:rsid w:val="39F57921"/>
    <w:rsid w:val="3C75621C"/>
    <w:rsid w:val="3E604667"/>
    <w:rsid w:val="404041D2"/>
    <w:rsid w:val="44606EA9"/>
    <w:rsid w:val="45B00BAB"/>
    <w:rsid w:val="4B924EC3"/>
    <w:rsid w:val="4C814D6B"/>
    <w:rsid w:val="4C9772FC"/>
    <w:rsid w:val="4CF35EF7"/>
    <w:rsid w:val="529834A9"/>
    <w:rsid w:val="53CD1A23"/>
    <w:rsid w:val="591970CF"/>
    <w:rsid w:val="59917DFB"/>
    <w:rsid w:val="5A8A00F3"/>
    <w:rsid w:val="5C7E3B50"/>
    <w:rsid w:val="627C4972"/>
    <w:rsid w:val="653D4648"/>
    <w:rsid w:val="662C5824"/>
    <w:rsid w:val="6CDF678D"/>
    <w:rsid w:val="6D3E5251"/>
    <w:rsid w:val="6EB14575"/>
    <w:rsid w:val="6F07291C"/>
    <w:rsid w:val="712A7510"/>
    <w:rsid w:val="75EF77E7"/>
    <w:rsid w:val="7CD817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spacing w:line="360" w:lineRule="auto"/>
      <w:outlineLvl w:val="0"/>
    </w:pPr>
    <w:rPr>
      <w:b/>
      <w:bCs/>
      <w:kern w:val="44"/>
      <w:sz w:val="24"/>
      <w:szCs w:val="44"/>
    </w:rPr>
  </w:style>
  <w:style w:type="paragraph" w:styleId="5">
    <w:name w:val="heading 2"/>
    <w:basedOn w:val="1"/>
    <w:next w:val="1"/>
    <w:qFormat/>
    <w:uiPriority w:val="0"/>
    <w:pPr>
      <w:numPr>
        <w:ilvl w:val="1"/>
        <w:numId w:val="1"/>
      </w:numPr>
      <w:adjustRightInd w:val="0"/>
      <w:spacing w:line="360" w:lineRule="auto"/>
      <w:jc w:val="left"/>
      <w:textAlignment w:val="baseline"/>
      <w:outlineLvl w:val="1"/>
    </w:pPr>
    <w:rPr>
      <w:rFonts w:ascii="Arial" w:hAnsi="Arial"/>
      <w:kern w:val="28"/>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style>
  <w:style w:type="paragraph" w:styleId="6">
    <w:name w:val="Plain Text"/>
    <w:basedOn w:val="1"/>
    <w:qFormat/>
    <w:uiPriority w:val="0"/>
    <w:rPr>
      <w:rFonts w:ascii="宋体" w:hAnsi="Courier New"/>
      <w:sz w:val="28"/>
      <w:szCs w:val="20"/>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Char"/>
    <w:basedOn w:val="12"/>
    <w:link w:val="9"/>
    <w:qFormat/>
    <w:uiPriority w:val="99"/>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2021-05-23T00:17:06Z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FCB82A43C2224C2C927F38EF7896E93B</vt:lpwstr>
  </property>
</Properties>
</file>