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  <w:r>
        <w:rPr>
          <w:rFonts w:hint="eastAsia" w:ascii="宋体" w:hAnsi="宋体" w:eastAsia="宋体" w:cs="宋体"/>
          <w:b/>
          <w:sz w:val="22"/>
          <w:szCs w:val="22"/>
        </w:rPr>
        <w:t>■</w:t>
      </w:r>
      <w:r>
        <w:rPr>
          <w:rFonts w:hint="eastAsia"/>
          <w:b/>
          <w:sz w:val="22"/>
          <w:szCs w:val="22"/>
        </w:rPr>
        <w:t>E</w:t>
      </w:r>
      <w:r>
        <w:rPr>
          <w:rFonts w:hint="eastAsia"/>
          <w:b/>
          <w:sz w:val="22"/>
          <w:szCs w:val="22"/>
          <w:lang w:val="en-US" w:eastAsia="zh-CN"/>
        </w:rPr>
        <w:t>n</w:t>
      </w:r>
      <w:r>
        <w:rPr>
          <w:rFonts w:hint="eastAsia"/>
          <w:b/>
          <w:sz w:val="22"/>
          <w:szCs w:val="22"/>
        </w:rPr>
        <w:t>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浙江五饼二鱼实业有限公司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2.10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潘斯贴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-2537460</wp:posOffset>
                  </wp:positionV>
                  <wp:extent cx="5080000" cy="2327275"/>
                  <wp:effectExtent l="0" t="0" r="0" b="9525"/>
                  <wp:wrapSquare wrapText="bothSides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0" cy="232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工艺过程消耗的能源种类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t>电力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主要的耗能设备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成型机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多层冷压机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锯片磨刀机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曲直线封边机全自动封边机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t>烤箱、电焊机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国家限额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《中华人民共和国节约能源法》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2、部门规章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0000FF"/>
                <w:kern w:val="0"/>
                <w:sz w:val="24"/>
              </w:rPr>
            </w:pPr>
            <w:bookmarkStart w:id="5" w:name="_GoBack"/>
            <w:r>
              <w:rPr>
                <w:rFonts w:hint="eastAsia" w:ascii="楷体" w:hAnsi="楷体" w:eastAsia="楷体" w:cs="Times New Roman"/>
                <w:color w:val="0000FF"/>
                <w:kern w:val="0"/>
                <w:sz w:val="24"/>
              </w:rPr>
              <w:t>《产业结构调整指导目录》（201</w:t>
            </w:r>
            <w:r>
              <w:rPr>
                <w:rFonts w:hint="eastAsia" w:ascii="楷体" w:hAnsi="楷体" w:eastAsia="楷体" w:cs="Times New Roman"/>
                <w:color w:val="0000FF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Times New Roman"/>
                <w:color w:val="0000FF"/>
                <w:kern w:val="0"/>
                <w:sz w:val="24"/>
              </w:rPr>
              <w:t>年修订）</w:t>
            </w:r>
          </w:p>
          <w:bookmarkEnd w:id="5"/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《高耗能落后电机设备（产品）淘汰目录》（第一批）（工节〔2009〕第67号）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《高耗能落后机电设备（产品）淘汰目录（第二批）》（国家工业和信息化部工节［2012］第14号）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《高耗能落后机电设备（产品）淘汰目录（第三批）》（国家工业和信息化部工节［2014］第16号）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相关行业的产业政策（如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t>运动器材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等，有门槛要求）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3、节能技术标准依据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 xml:space="preserve">《节能监测技术通则》（GB/T15316－2009） 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 xml:space="preserve">《综合能耗计算通则》（GB/T2589－2008）  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0000FF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0000FF"/>
                <w:kern w:val="0"/>
                <w:sz w:val="24"/>
              </w:rPr>
              <w:t>《用能</w:t>
            </w:r>
            <w:r>
              <w:rPr>
                <w:rFonts w:hint="default" w:ascii="楷体" w:hAnsi="楷体" w:eastAsia="楷体" w:cs="Times New Roman"/>
                <w:color w:val="0000FF"/>
                <w:kern w:val="0"/>
                <w:sz w:val="24"/>
              </w:rPr>
              <w:t>单位节能量计算方法</w:t>
            </w:r>
            <w:r>
              <w:rPr>
                <w:rFonts w:hint="eastAsia" w:ascii="楷体" w:hAnsi="楷体" w:eastAsia="楷体" w:cs="Times New Roman"/>
                <w:color w:val="0000FF"/>
                <w:kern w:val="0"/>
                <w:sz w:val="24"/>
              </w:rPr>
              <w:t>》（GB/T13234－20</w:t>
            </w:r>
            <w:r>
              <w:rPr>
                <w:rFonts w:hint="eastAsia" w:ascii="楷体" w:hAnsi="楷体" w:eastAsia="楷体" w:cs="Times New Roman"/>
                <w:color w:val="0000FF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楷体" w:hAnsi="楷体" w:eastAsia="楷体" w:cs="Times New Roman"/>
                <w:color w:val="0000FF"/>
                <w:kern w:val="0"/>
                <w:sz w:val="24"/>
              </w:rPr>
              <w:t xml:space="preserve">） 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 xml:space="preserve">《工业企业能源管理导则》（GB/T15587－2008） 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0000FF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0000FF"/>
                <w:kern w:val="0"/>
                <w:sz w:val="24"/>
              </w:rPr>
              <w:t>《用能单位能源计量器具配备和管理通则》（GB/17167-200</w:t>
            </w:r>
            <w:r>
              <w:rPr>
                <w:rFonts w:hint="eastAsia" w:ascii="楷体" w:hAnsi="楷体" w:eastAsia="楷体" w:cs="Times New Roman"/>
                <w:color w:val="0000FF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Times New Roman"/>
                <w:color w:val="0000FF"/>
                <w:kern w:val="0"/>
                <w:sz w:val="24"/>
              </w:rPr>
              <w:t>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《企业能量平衡通则》（GB/T3484-2009）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潘斯贴</w:t>
      </w:r>
      <w:r>
        <w:rPr>
          <w:rFonts w:hint="eastAsia" w:ascii="宋体"/>
          <w:b/>
          <w:sz w:val="22"/>
          <w:szCs w:val="22"/>
        </w:rPr>
        <w:t xml:space="preserve">       </w:t>
      </w:r>
      <w:r>
        <w:rPr>
          <w:rFonts w:hint="eastAsia" w:ascii="宋体"/>
          <w:b/>
          <w:sz w:val="22"/>
          <w:szCs w:val="22"/>
          <w:lang w:val="en-US" w:eastAsia="zh-CN"/>
        </w:rPr>
        <w:t xml:space="preserve">    </w:t>
      </w:r>
      <w:r>
        <w:rPr>
          <w:rFonts w:hint="eastAsia" w:ascii="宋体"/>
          <w:b/>
          <w:sz w:val="22"/>
          <w:szCs w:val="22"/>
        </w:rPr>
        <w:t xml:space="preserve">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周涛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2021.5.13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4417448"/>
    <w:rsid w:val="37E62C4C"/>
    <w:rsid w:val="535F0D8E"/>
    <w:rsid w:val="56C36EFA"/>
    <w:rsid w:val="6E7C7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6</TotalTime>
  <ScaleCrop>false</ScaleCrop>
  <LinksUpToDate>false</LinksUpToDate>
  <CharactersWithSpaces>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2021-05-21T02:44:57Z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33310D5C97724A1CACFA03019B5FED72</vt:lpwstr>
  </property>
</Properties>
</file>