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周晓春、熊艳</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江丽萍</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2021.5.12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napToGrid w:val="0"/>
              <w:spacing w:line="260" w:lineRule="exact"/>
              <w:rPr>
                <w:rFonts w:hint="eastAsia" w:ascii="楷体" w:hAnsi="楷体" w:eastAsia="楷体" w:cs="楷体"/>
                <w:bCs/>
                <w:sz w:val="21"/>
                <w:szCs w:val="21"/>
              </w:rPr>
            </w:pPr>
            <w:r>
              <w:rPr>
                <w:rFonts w:hint="eastAsia" w:ascii="楷体" w:hAnsi="楷体" w:eastAsia="楷体"/>
                <w:szCs w:val="21"/>
              </w:rPr>
              <w:t>审核条款：</w:t>
            </w:r>
            <w:r>
              <w:rPr>
                <w:rFonts w:hint="eastAsia" w:ascii="楷体" w:hAnsi="楷体" w:eastAsia="楷体" w:cs="楷体"/>
                <w:bCs/>
                <w:sz w:val="21"/>
                <w:szCs w:val="21"/>
              </w:rPr>
              <w:t>Q:4.1/4.2/4.3/4.4/5.1/5.2/5.3/6.1/6.2/6.3/7.1.1/7.5.1/9.1.1/9.3</w:t>
            </w:r>
            <w:r>
              <w:rPr>
                <w:rFonts w:hint="eastAsia" w:ascii="楷体" w:hAnsi="楷体" w:eastAsia="楷体" w:cs="楷体"/>
                <w:sz w:val="21"/>
                <w:szCs w:val="21"/>
              </w:rPr>
              <w:t>/</w:t>
            </w:r>
            <w:r>
              <w:rPr>
                <w:rFonts w:hint="eastAsia" w:ascii="楷体" w:hAnsi="楷体" w:eastAsia="楷体" w:cs="楷体"/>
                <w:bCs/>
                <w:sz w:val="21"/>
                <w:szCs w:val="21"/>
              </w:rPr>
              <w:t>10.1</w:t>
            </w:r>
            <w:r>
              <w:rPr>
                <w:rFonts w:hint="eastAsia" w:ascii="楷体" w:hAnsi="楷体" w:eastAsia="楷体" w:cs="楷体"/>
                <w:sz w:val="21"/>
                <w:szCs w:val="21"/>
              </w:rPr>
              <w:t>/</w:t>
            </w:r>
            <w:r>
              <w:rPr>
                <w:rFonts w:hint="eastAsia" w:ascii="楷体" w:hAnsi="楷体" w:eastAsia="楷体" w:cs="楷体"/>
                <w:bCs/>
                <w:sz w:val="21"/>
                <w:szCs w:val="21"/>
              </w:rPr>
              <w:t>10.3;</w:t>
            </w:r>
          </w:p>
          <w:p>
            <w:pPr>
              <w:snapToGrid w:val="0"/>
              <w:spacing w:line="260" w:lineRule="exact"/>
              <w:jc w:val="left"/>
              <w:rPr>
                <w:rFonts w:hint="eastAsia" w:ascii="楷体" w:hAnsi="楷体" w:eastAsia="楷体" w:cs="楷体"/>
                <w:sz w:val="21"/>
                <w:szCs w:val="21"/>
              </w:rPr>
            </w:pPr>
            <w:r>
              <w:rPr>
                <w:rFonts w:hint="eastAsia" w:ascii="楷体" w:hAnsi="楷体" w:eastAsia="楷体" w:cs="楷体"/>
                <w:bCs/>
                <w:sz w:val="21"/>
                <w:szCs w:val="21"/>
              </w:rPr>
              <w:t>E:4.1/4.2/4.3/4.4/5.1/5.2/5.3</w:t>
            </w:r>
            <w:r>
              <w:rPr>
                <w:rFonts w:hint="eastAsia" w:ascii="楷体" w:hAnsi="楷体" w:eastAsia="楷体" w:cs="楷体"/>
                <w:sz w:val="21"/>
                <w:szCs w:val="21"/>
              </w:rPr>
              <w:t>/</w:t>
            </w:r>
            <w:r>
              <w:rPr>
                <w:rFonts w:hint="eastAsia" w:ascii="楷体" w:hAnsi="楷体" w:eastAsia="楷体" w:cs="楷体"/>
                <w:bCs/>
                <w:sz w:val="21"/>
                <w:szCs w:val="21"/>
              </w:rPr>
              <w:t>6.1.1</w:t>
            </w:r>
            <w:r>
              <w:rPr>
                <w:rFonts w:hint="eastAsia" w:ascii="楷体" w:hAnsi="楷体" w:eastAsia="楷体" w:cs="楷体"/>
                <w:sz w:val="21"/>
                <w:szCs w:val="21"/>
              </w:rPr>
              <w:t>/</w:t>
            </w:r>
            <w:r>
              <w:rPr>
                <w:rFonts w:hint="eastAsia" w:ascii="楷体" w:hAnsi="楷体" w:eastAsia="楷体" w:cs="楷体"/>
                <w:bCs/>
                <w:sz w:val="21"/>
                <w:szCs w:val="21"/>
              </w:rPr>
              <w:t>6.1.4</w:t>
            </w:r>
            <w:r>
              <w:rPr>
                <w:rFonts w:hint="eastAsia" w:ascii="楷体" w:hAnsi="楷体" w:eastAsia="楷体" w:cs="楷体"/>
                <w:sz w:val="21"/>
                <w:szCs w:val="21"/>
              </w:rPr>
              <w:t>/</w:t>
            </w:r>
            <w:r>
              <w:rPr>
                <w:rFonts w:hint="eastAsia" w:ascii="楷体" w:hAnsi="楷体" w:eastAsia="楷体" w:cs="楷体"/>
                <w:bCs/>
                <w:sz w:val="21"/>
                <w:szCs w:val="21"/>
              </w:rPr>
              <w:t>6.2/7.1</w:t>
            </w:r>
            <w:r>
              <w:rPr>
                <w:rFonts w:hint="eastAsia" w:ascii="楷体" w:hAnsi="楷体" w:eastAsia="楷体" w:cs="楷体"/>
                <w:sz w:val="21"/>
                <w:szCs w:val="21"/>
              </w:rPr>
              <w:t>/</w:t>
            </w:r>
            <w:r>
              <w:rPr>
                <w:rFonts w:hint="eastAsia" w:ascii="楷体" w:hAnsi="楷体" w:eastAsia="楷体" w:cs="楷体"/>
                <w:bCs/>
                <w:sz w:val="21"/>
                <w:szCs w:val="21"/>
              </w:rPr>
              <w:t>7.5.1</w:t>
            </w:r>
            <w:r>
              <w:rPr>
                <w:rFonts w:hint="eastAsia" w:ascii="楷体" w:hAnsi="楷体" w:eastAsia="楷体" w:cs="楷体"/>
                <w:sz w:val="21"/>
                <w:szCs w:val="21"/>
              </w:rPr>
              <w:t>/</w:t>
            </w:r>
            <w:r>
              <w:rPr>
                <w:rFonts w:hint="eastAsia" w:ascii="楷体" w:hAnsi="楷体" w:eastAsia="楷体" w:cs="楷体"/>
                <w:bCs/>
                <w:sz w:val="21"/>
                <w:szCs w:val="21"/>
              </w:rPr>
              <w:t>9.3/10.1/10.3</w:t>
            </w:r>
          </w:p>
          <w:p>
            <w:pPr>
              <w:snapToGrid w:val="0"/>
              <w:spacing w:line="260" w:lineRule="exact"/>
              <w:rPr>
                <w:rFonts w:hint="eastAsia" w:ascii="楷体" w:hAnsi="楷体" w:eastAsia="楷体" w:cs="楷体"/>
                <w:bCs/>
                <w:sz w:val="21"/>
                <w:szCs w:val="21"/>
              </w:rPr>
            </w:pPr>
            <w:r>
              <w:rPr>
                <w:rFonts w:hint="eastAsia" w:ascii="楷体" w:hAnsi="楷体" w:eastAsia="楷体" w:cs="楷体"/>
                <w:bCs/>
                <w:sz w:val="21"/>
                <w:szCs w:val="21"/>
              </w:rPr>
              <w:t>S:4.1/4.2/4.3/4.4/5.1/5.2/5.3/5.4/6.1.1/6.2/7.1/7.5.1/8.1.1/8.2</w:t>
            </w:r>
          </w:p>
          <w:p>
            <w:pPr>
              <w:rPr>
                <w:rFonts w:ascii="楷体" w:hAnsi="楷体" w:eastAsia="楷体"/>
                <w:szCs w:val="21"/>
              </w:rPr>
            </w:pPr>
            <w:r>
              <w:rPr>
                <w:rFonts w:hint="eastAsia" w:ascii="楷体" w:hAnsi="楷体" w:eastAsia="楷体" w:cs="楷体"/>
                <w:bCs/>
                <w:sz w:val="21"/>
                <w:szCs w:val="21"/>
              </w:rPr>
              <w:t>/9.1.1/9.3</w:t>
            </w:r>
            <w:r>
              <w:rPr>
                <w:rFonts w:hint="eastAsia" w:ascii="楷体" w:hAnsi="楷体" w:eastAsia="楷体" w:cs="楷体"/>
                <w:sz w:val="21"/>
                <w:szCs w:val="21"/>
              </w:rPr>
              <w:t>/</w:t>
            </w:r>
            <w:r>
              <w:rPr>
                <w:rFonts w:hint="eastAsia" w:ascii="楷体" w:hAnsi="楷体" w:eastAsia="楷体" w:cs="楷体"/>
                <w:bCs/>
                <w:sz w:val="21"/>
                <w:szCs w:val="21"/>
              </w:rPr>
              <w:t>10.1</w:t>
            </w:r>
            <w:r>
              <w:rPr>
                <w:rFonts w:hint="eastAsia" w:ascii="楷体" w:hAnsi="楷体" w:eastAsia="楷体" w:cs="楷体"/>
                <w:sz w:val="21"/>
                <w:szCs w:val="21"/>
              </w:rPr>
              <w:t>/</w:t>
            </w:r>
            <w:r>
              <w:rPr>
                <w:rFonts w:hint="eastAsia" w:ascii="楷体" w:hAnsi="楷体" w:eastAsia="楷体" w:cs="楷体"/>
                <w:bCs/>
                <w:sz w:val="21"/>
                <w:szCs w:val="21"/>
              </w:rPr>
              <w:t>10.3</w:t>
            </w:r>
            <w:r>
              <w:rPr>
                <w:rFonts w:hint="eastAsia" w:ascii="楷体" w:hAnsi="楷体" w:eastAsia="楷体" w:cs="楷体"/>
                <w:sz w:val="21"/>
                <w:szCs w:val="21"/>
              </w:rPr>
              <w:t>资质验证/范围再确认/一阶段问题验证/投诉或事故/政府主管部门监督抽查情况。Q8.3不适合条款的确认</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周晓春，</w:t>
            </w:r>
            <w:r>
              <w:rPr>
                <w:rFonts w:hint="eastAsia" w:ascii="楷体" w:hAnsi="楷体" w:eastAsia="楷体"/>
                <w:sz w:val="24"/>
                <w:szCs w:val="24"/>
              </w:rPr>
              <w:t>管代</w:t>
            </w:r>
            <w:r>
              <w:rPr>
                <w:rFonts w:hint="eastAsia" w:ascii="楷体" w:hAnsi="楷体" w:eastAsia="楷体"/>
                <w:sz w:val="24"/>
                <w:szCs w:val="24"/>
                <w:lang w:val="en-US" w:eastAsia="zh-CN"/>
              </w:rPr>
              <w:t>熊艳</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03</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w:t>
            </w:r>
            <w:r>
              <w:rPr>
                <w:rFonts w:hint="eastAsia" w:ascii="楷体" w:hAnsi="楷体" w:eastAsia="楷体"/>
                <w:sz w:val="24"/>
                <w:szCs w:val="24"/>
                <w:lang w:val="en-US" w:eastAsia="zh-CN"/>
              </w:rPr>
              <w:t>4</w:t>
            </w:r>
            <w:r>
              <w:rPr>
                <w:rFonts w:hint="eastAsia" w:ascii="楷体" w:hAnsi="楷体" w:eastAsia="楷体"/>
                <w:sz w:val="24"/>
                <w:szCs w:val="24"/>
              </w:rPr>
              <w:t>日，法人代表</w:t>
            </w:r>
            <w:r>
              <w:rPr>
                <w:rFonts w:hint="eastAsia" w:ascii="楷体" w:hAnsi="楷体" w:eastAsia="楷体"/>
                <w:sz w:val="24"/>
                <w:szCs w:val="24"/>
                <w:lang w:val="en-US" w:eastAsia="zh-CN"/>
              </w:rPr>
              <w:t>周晓春</w:t>
            </w:r>
            <w:r>
              <w:rPr>
                <w:rFonts w:hint="eastAsia" w:ascii="楷体" w:hAnsi="楷体" w:eastAsia="楷体"/>
                <w:sz w:val="24"/>
                <w:szCs w:val="24"/>
              </w:rPr>
              <w:t>，注册地址：</w:t>
            </w:r>
            <w:bookmarkStart w:id="0" w:name="注册地址"/>
            <w:r>
              <w:rPr>
                <w:rFonts w:hint="eastAsia" w:ascii="楷体" w:hAnsi="楷体" w:eastAsia="楷体" w:cs="楷体"/>
                <w:sz w:val="24"/>
                <w:szCs w:val="24"/>
              </w:rPr>
              <w:t>江西省南昌市西湖区广场东路1号5单元504室</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发电机及发电机组的组装(资质许可要求除外）、 销售及技术服务</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熊艳</w:t>
            </w:r>
            <w:r>
              <w:rPr>
                <w:rFonts w:hint="eastAsia" w:ascii="楷体" w:hAnsi="楷体" w:eastAsia="楷体"/>
                <w:sz w:val="24"/>
                <w:szCs w:val="24"/>
              </w:rPr>
              <w:t>介绍，公司管理体系运行已满6个多月。对部门及其职责进行了规定，设有</w:t>
            </w:r>
            <w:r>
              <w:rPr>
                <w:rFonts w:hint="eastAsia" w:ascii="楷体" w:hAnsi="楷体" w:eastAsia="楷体"/>
                <w:sz w:val="24"/>
                <w:szCs w:val="24"/>
                <w:lang w:val="en-US" w:eastAsia="zh-CN"/>
              </w:rPr>
              <w:t>总经办</w:t>
            </w:r>
            <w:r>
              <w:rPr>
                <w:rFonts w:hint="eastAsia" w:ascii="楷体" w:hAnsi="楷体" w:eastAsia="楷体"/>
                <w:sz w:val="24"/>
                <w:szCs w:val="24"/>
              </w:rPr>
              <w:t>、</w:t>
            </w:r>
            <w:r>
              <w:rPr>
                <w:rFonts w:hint="eastAsia" w:ascii="楷体" w:hAnsi="楷体" w:eastAsia="楷体"/>
                <w:sz w:val="24"/>
                <w:szCs w:val="24"/>
                <w:lang w:val="en-US" w:eastAsia="zh-CN"/>
              </w:rPr>
              <w:t>业务</w:t>
            </w:r>
            <w:r>
              <w:rPr>
                <w:rFonts w:hint="eastAsia" w:ascii="楷体" w:hAnsi="楷体" w:eastAsia="楷体"/>
                <w:sz w:val="24"/>
                <w:szCs w:val="24"/>
              </w:rPr>
              <w:t>部、生产</w:t>
            </w:r>
            <w:r>
              <w:rPr>
                <w:rFonts w:hint="eastAsia" w:ascii="楷体" w:hAnsi="楷体" w:eastAsia="楷体"/>
                <w:sz w:val="24"/>
                <w:szCs w:val="24"/>
                <w:lang w:val="en-US" w:eastAsia="zh-CN"/>
              </w:rPr>
              <w:t>车间、采购部、工程部、财务部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月开始运行三体系，组织了内审员培训，识别了生产的过程及其相互关系，企业提供编号：</w:t>
            </w:r>
            <w:r>
              <w:rPr>
                <w:rFonts w:hint="eastAsia" w:ascii="楷体" w:hAnsi="楷体" w:eastAsia="楷体" w:cs="楷体"/>
                <w:b/>
                <w:sz w:val="24"/>
                <w:szCs w:val="24"/>
              </w:rPr>
              <w:t>DXJD/SC-2020</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25</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7</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sz w:val="24"/>
                <w:szCs w:val="24"/>
                <w:lang w:val="en-US" w:eastAsia="zh-CN"/>
              </w:rPr>
              <w:t>熊华平</w:t>
            </w:r>
            <w:r>
              <w:rPr>
                <w:rFonts w:hint="eastAsia" w:ascii="楷体" w:hAnsi="楷体" w:eastAsia="楷体"/>
                <w:sz w:val="24"/>
                <w:szCs w:val="24"/>
              </w:rPr>
              <w:t>批准。任命管代：</w:t>
            </w:r>
            <w:r>
              <w:rPr>
                <w:rFonts w:hint="eastAsia" w:ascii="楷体" w:hAnsi="楷体" w:eastAsia="楷体"/>
                <w:sz w:val="24"/>
                <w:szCs w:val="24"/>
                <w:lang w:val="en-US" w:eastAsia="zh-CN"/>
              </w:rPr>
              <w:t>熊艳</w:t>
            </w:r>
            <w:r>
              <w:rPr>
                <w:rFonts w:hint="eastAsia" w:ascii="楷体" w:hAnsi="楷体" w:eastAsia="楷体"/>
                <w:sz w:val="24"/>
                <w:szCs w:val="24"/>
              </w:rPr>
              <w:t>；职业健康安全事务代表：</w:t>
            </w:r>
            <w:r>
              <w:rPr>
                <w:rFonts w:hint="eastAsia" w:ascii="楷体" w:hAnsi="楷体" w:eastAsia="楷体"/>
                <w:sz w:val="24"/>
                <w:szCs w:val="24"/>
                <w:lang w:val="en-US" w:eastAsia="zh-CN"/>
              </w:rPr>
              <w:t>熊华英</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楷体" w:hAnsi="楷体" w:eastAsia="楷体" w:cs="楷体"/>
                <w:b/>
                <w:sz w:val="24"/>
                <w:szCs w:val="24"/>
              </w:rPr>
              <w:t>DXJD/SC-2020</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熊艳</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r>
              <w:rPr>
                <w:rFonts w:hint="eastAsia" w:ascii="楷体" w:hAnsi="楷体" w:eastAsia="楷体" w:cs="楷体"/>
                <w:color w:val="auto"/>
                <w:sz w:val="24"/>
                <w:szCs w:val="24"/>
              </w:rPr>
              <w:t>Q：</w:t>
            </w:r>
            <w:r>
              <w:rPr>
                <w:rFonts w:hint="eastAsia" w:ascii="楷体" w:hAnsi="楷体" w:eastAsia="楷体" w:cs="楷体"/>
                <w:sz w:val="24"/>
                <w:szCs w:val="24"/>
              </w:rPr>
              <w:t>发电机及发电机组的组装(资质许可要求除外）、 销售及技术服务</w:t>
            </w:r>
          </w:p>
          <w:p>
            <w:pPr>
              <w:rPr>
                <w:rFonts w:hint="eastAsia" w:ascii="楷体" w:hAnsi="楷体" w:eastAsia="楷体" w:cs="楷体"/>
                <w:sz w:val="24"/>
                <w:szCs w:val="24"/>
              </w:rPr>
            </w:pPr>
            <w:r>
              <w:rPr>
                <w:rFonts w:hint="eastAsia" w:ascii="楷体" w:hAnsi="楷体" w:eastAsia="楷体" w:cs="楷体"/>
                <w:color w:val="auto"/>
                <w:sz w:val="24"/>
                <w:szCs w:val="24"/>
              </w:rPr>
              <w:t>E：</w:t>
            </w:r>
            <w:r>
              <w:rPr>
                <w:rFonts w:hint="eastAsia" w:ascii="楷体" w:hAnsi="楷体" w:eastAsia="楷体" w:cs="楷体"/>
                <w:sz w:val="24"/>
                <w:szCs w:val="24"/>
              </w:rPr>
              <w:t>发电机及发电机组的组装(资质许可要求除外）、 销售及技术服务所涉及场所的相关环境管理活动</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O：</w:t>
            </w:r>
            <w:r>
              <w:rPr>
                <w:rFonts w:hint="eastAsia" w:ascii="楷体" w:hAnsi="楷体" w:eastAsia="楷体" w:cs="楷体"/>
                <w:sz w:val="24"/>
                <w:szCs w:val="24"/>
              </w:rPr>
              <w:t>发电机及发电机组的组装(资质许可要求除外）、 销售及技术服务所涉及场所的相关职业健康安全管理活动</w:t>
            </w:r>
          </w:p>
          <w:p>
            <w:pPr>
              <w:spacing w:line="360" w:lineRule="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经识别，外包为底座制作、组装调试，关键过程为调试，需确认的过程为焊接。企业不存在产品的设计开发过程，因此Q8.3条款不适合，而且不影响满足顾客要求和法律法规要求的能力与责任。</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管理创新   科技更新   行业领先  以人为本   环保安全   和谐永驻</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熊艳，管代熊艳</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 ⑴ 产品出厂合格率100%</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⑵ 成品出库不良率≤1%；</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⑶ 顾客（客户）投诉率≤2%；</w:t>
            </w:r>
          </w:p>
          <w:p>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⑷ 客户（售后）技术服务满意率95%及以上；</w:t>
            </w:r>
          </w:p>
          <w:p>
            <w:pPr>
              <w:spacing w:line="400" w:lineRule="exact"/>
              <w:ind w:firstLine="480" w:firstLineChars="200"/>
              <w:rPr>
                <w:rFonts w:hint="eastAsia" w:ascii="宋体" w:hAnsi="宋体"/>
                <w:sz w:val="21"/>
                <w:szCs w:val="21"/>
              </w:rPr>
            </w:pPr>
            <w:r>
              <w:rPr>
                <w:rFonts w:hint="eastAsia" w:ascii="楷体" w:hAnsi="楷体" w:eastAsia="楷体" w:cs="楷体"/>
                <w:sz w:val="24"/>
                <w:szCs w:val="24"/>
              </w:rPr>
              <w:t>⑸ 杜绝火灾、人身重伤、设施设备损坏、环境污染及其他重大事故发生。</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21.3.31</w:t>
            </w:r>
            <w:r>
              <w:rPr>
                <w:rFonts w:hint="eastAsia" w:ascii="楷体" w:hAnsi="楷体" w:eastAsia="楷体"/>
                <w:color w:val="000000"/>
                <w:sz w:val="24"/>
                <w:szCs w:val="24"/>
              </w:rPr>
              <w:t>日完成情况：</w:t>
            </w:r>
          </w:p>
          <w:p>
            <w:pPr>
              <w:spacing w:line="360" w:lineRule="auto"/>
              <w:rPr>
                <w:rFonts w:ascii="楷体" w:hAnsi="楷体" w:eastAsia="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体系运行至今</w:t>
            </w:r>
            <w:r>
              <w:rPr>
                <w:rFonts w:hint="eastAsia" w:ascii="楷体" w:hAnsi="楷体" w:eastAsia="楷体"/>
                <w:sz w:val="24"/>
                <w:szCs w:val="24"/>
              </w:rPr>
              <w:t>组织环保、安全主要投入到环保设施、固废分类处置、劳保、体检、消防、（高温补助、取暖费）福利费用等投入方面，至今支出约</w:t>
            </w:r>
            <w:r>
              <w:rPr>
                <w:rFonts w:hint="eastAsia" w:ascii="楷体" w:hAnsi="楷体" w:eastAsia="楷体"/>
                <w:color w:val="auto"/>
                <w:sz w:val="24"/>
                <w:szCs w:val="24"/>
                <w:lang w:val="en-US" w:eastAsia="zh-CN"/>
              </w:rPr>
              <w:t>18.78万</w:t>
            </w:r>
            <w:r>
              <w:rPr>
                <w:rFonts w:hint="eastAsia" w:ascii="楷体" w:hAnsi="楷体" w:eastAsia="楷体"/>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熊艳</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熊艳</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况纯华</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20.12.10</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熊艳</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before="120" w:after="120" w:line="360" w:lineRule="auto"/>
              <w:ind w:firstLine="480" w:firstLineChars="200"/>
              <w:rPr>
                <w:rFonts w:hint="eastAsia" w:ascii="楷体" w:hAnsi="楷体" w:eastAsia="楷体" w:cs="楷体"/>
                <w:sz w:val="24"/>
                <w:szCs w:val="24"/>
              </w:rPr>
            </w:pPr>
            <w:r>
              <w:rPr>
                <w:rFonts w:hint="eastAsia" w:ascii="楷体" w:hAnsi="楷体" w:eastAsia="楷体"/>
                <w:sz w:val="24"/>
                <w:szCs w:val="24"/>
              </w:rPr>
              <w:t>提出了</w:t>
            </w:r>
            <w:r>
              <w:rPr>
                <w:rFonts w:hint="eastAsia" w:ascii="楷体" w:hAnsi="楷体" w:eastAsia="楷体"/>
                <w:sz w:val="24"/>
                <w:szCs w:val="24"/>
                <w:lang w:val="en-US" w:eastAsia="zh-CN"/>
              </w:rPr>
              <w:t>4</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2）进一步组织对相关的法律、法规、规程和规范的学习，以增强广大技术人员的质量意识环境保护意识；</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3）加强对风险管控知识的学习，由行政部进行调研，并制定详细的实施计划；</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4）节能降耗，减少生产车间和办公区域资源能源和办公器材消耗量，减排增效，确保环境卫生。</w:t>
            </w:r>
          </w:p>
          <w:p>
            <w:pPr>
              <w:spacing w:line="24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pict>
                <v:shape id="_x0000_i1025" o:spt="75" type="#_x0000_t75" style="height:348pt;width:286.5pt;" filled="f" stroked="f" coordsize="21600,21600">
                  <v:path/>
                  <v:fill on="f" focussize="0,0"/>
                  <v:stroke on="f"/>
                  <v:imagedata r:id="rId6" o:title=""/>
                  <o:lock v:ext="edit" aspectratio="t"/>
                  <w10:wrap type="none"/>
                  <w10:anchorlock/>
                </v:shape>
              </w:pict>
            </w:r>
            <w:bookmarkStart w:id="1" w:name="_GoBack"/>
            <w:bookmarkEnd w:id="1"/>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3"/>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A4A0FBA"/>
    <w:rsid w:val="108219C2"/>
    <w:rsid w:val="18DA4B79"/>
    <w:rsid w:val="270A7845"/>
    <w:rsid w:val="2EEF134C"/>
    <w:rsid w:val="34F43974"/>
    <w:rsid w:val="3D2D0ACD"/>
    <w:rsid w:val="50E65443"/>
    <w:rsid w:val="523722D7"/>
    <w:rsid w:val="5EA12B9A"/>
    <w:rsid w:val="6F1216C3"/>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10</TotalTime>
  <ScaleCrop>false</ScaleCrop>
  <LinksUpToDate>false</LinksUpToDate>
  <CharactersWithSpaces>7097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cp:lastModifiedBy>
  <dcterms:modified xsi:type="dcterms:W3CDTF">2021-05-17T08:51:36Z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36545FD042404D298B89CE74C97ACA2A</vt:lpwstr>
  </property>
</Properties>
</file>