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销售部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陪同人员：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  <w:t>宋文君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张磊         </w:t>
            </w:r>
            <w:r>
              <w:rPr>
                <w:rFonts w:hint="eastAsia"/>
                <w:sz w:val="24"/>
                <w:szCs w:val="24"/>
              </w:rPr>
              <w:t xml:space="preserve">     审核日期：202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</w:rPr>
              <w:t xml:space="preserve">6.1.2 </w:t>
            </w:r>
            <w:r>
              <w:rPr>
                <w:rFonts w:hint="eastAsia"/>
                <w:lang w:val="en-US" w:eastAsia="zh-CN"/>
              </w:rPr>
              <w:t xml:space="preserve"> 6.2  </w:t>
            </w:r>
            <w:r>
              <w:rPr>
                <w:rFonts w:hint="eastAsia"/>
              </w:rPr>
              <w:t>8.1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8.2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危险源辨识</w:t>
            </w:r>
            <w:r>
              <w:rPr>
                <w:rFonts w:hint="eastAsia"/>
                <w:lang w:val="en-US" w:eastAsia="zh-CN"/>
              </w:rPr>
              <w:t>及风险和机遇的评价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O6.1.2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</w:rPr>
              <w:t>危险源辨识、风险评价和控制措施的确定程序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6"/>
              <w:tblW w:w="89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2336"/>
              <w:gridCol w:w="4032"/>
              <w:gridCol w:w="11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  <w:shd w:val="clear" w:color="auto" w:fill="auto"/>
                </w:tcPr>
                <w:p>
                  <w:pPr>
                    <w:jc w:val="center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2336" w:type="dxa"/>
                  <w:shd w:val="clear" w:color="auto" w:fill="auto"/>
                </w:tcPr>
                <w:p>
                  <w:pPr>
                    <w:jc w:val="center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状态</w:t>
                  </w:r>
                </w:p>
              </w:tc>
              <w:tc>
                <w:tcPr>
                  <w:tcW w:w="4032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控制措施</w:t>
                  </w:r>
                </w:p>
              </w:tc>
              <w:tc>
                <w:tcPr>
                  <w:tcW w:w="1176" w:type="dxa"/>
                  <w:shd w:val="clear" w:color="auto" w:fill="auto"/>
                  <w:vAlign w:val="top"/>
                </w:tcPr>
                <w:p>
                  <w:pPr>
                    <w:jc w:val="center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2"/>
                      <w:lang w:val="en-GB" w:eastAsia="zh-CN"/>
                    </w:rPr>
                  </w:pPr>
                  <w:r>
                    <w:rPr>
                      <w:rFonts w:hint="default"/>
                      <w:color w:val="auto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auto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auto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403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1、定期对办公设备、电脑进行检修、保养；</w:t>
                  </w:r>
                </w:p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2、定期检查漏电保护器；</w:t>
                  </w:r>
                </w:p>
                <w:p>
                  <w:pPr>
                    <w:rPr>
                      <w:rFonts w:hint="eastAsia"/>
                      <w:color w:val="auto"/>
                      <w:szCs w:val="22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3、办公现场进行安全用电进行培训。</w:t>
                  </w:r>
                </w:p>
              </w:tc>
              <w:tc>
                <w:tcPr>
                  <w:tcW w:w="117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2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 xml:space="preserve">销售部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5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233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color w:val="auto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auto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auto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 xml:space="preserve">紧急  </w:t>
                  </w:r>
                </w:p>
              </w:tc>
              <w:tc>
                <w:tcPr>
                  <w:tcW w:w="4032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1、禁烟禁火，安全用电</w:t>
                  </w:r>
                </w:p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2、疏散通道禁止堆放障碍物。</w:t>
                  </w:r>
                </w:p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3、配备充足的灭火器。</w:t>
                  </w:r>
                </w:p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4、加强禁火管理和应急教育。</w:t>
                  </w:r>
                </w:p>
              </w:tc>
              <w:tc>
                <w:tcPr>
                  <w:tcW w:w="117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Cs w:val="22"/>
                      <w:lang w:val="en-US" w:eastAsia="zh-CN"/>
                    </w:rPr>
                    <w:t>销售部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O6.2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t>如：手册第6.2条款、《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职业健康安全目标</w:t>
            </w:r>
            <w:r>
              <w:rPr>
                <w:rFonts w:hint="eastAsia"/>
                <w:lang w:val="en-US" w:eastAsia="zh-CN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组织建立</w:t>
            </w:r>
            <w:r>
              <w:rPr>
                <w:rFonts w:hint="eastAsia"/>
                <w:vertAlign w:val="baseline"/>
                <w:lang w:val="en-US" w:eastAsia="zh-CN"/>
              </w:rPr>
              <w:t>了与方针一致的文件化的管理</w:t>
            </w:r>
            <w:r>
              <w:rPr>
                <w:rFonts w:hint="eastAsia"/>
                <w:vertAlign w:val="baseline"/>
              </w:rPr>
              <w:t>目标。</w:t>
            </w:r>
            <w:r>
              <w:rPr>
                <w:rFonts w:hint="eastAsia"/>
                <w:vertAlign w:val="baseline"/>
                <w:lang w:eastAsia="zh-CN"/>
              </w:rPr>
              <w:t>为实现总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目标而建立的各层级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目标具体、有针对性、可测量并且可实现。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1"/>
              <w:gridCol w:w="3136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职业健康安全</w:t>
                  </w: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4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2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9" w:hRule="atLeast"/>
              </w:trPr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  <w:lang w:val="en-US" w:eastAsia="zh-CN"/>
                    </w:rPr>
                    <w:t>火灾事故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销售部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GB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219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18"/>
                      <w:lang w:val="en-US" w:eastAsia="zh-CN"/>
                    </w:rPr>
                    <w:t>触电事故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销售部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color w:val="auto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vertAlign w:val="baseline"/>
                <w:lang w:val="en-US"/>
              </w:rPr>
              <w:t>目标</w:t>
            </w:r>
            <w:r>
              <w:rPr>
                <w:rFonts w:hint="eastAsia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vertAlign w:val="baseline"/>
                <w:lang w:val="en-US"/>
              </w:rPr>
              <w:t>实现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vertAlign w:val="baseline"/>
                <w:lang w:val="en-US"/>
              </w:rPr>
              <w:t>目标没有实现的，组织在内部及时</w:t>
            </w:r>
            <w:r>
              <w:rPr>
                <w:rFonts w:hint="eastAsia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6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运行策划和控制</w:t>
            </w:r>
          </w:p>
        </w:tc>
        <w:tc>
          <w:tcPr>
            <w:tcW w:w="960" w:type="dxa"/>
            <w:vMerge w:val="restart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如：《危险源辨识、风险评价和控制措施的确定程序》，《环境和职业健康安全运行控制管理程序》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外部提供的</w:t>
            </w:r>
            <w:r>
              <w:rPr>
                <w:rFonts w:hint="eastAsia"/>
                <w:color w:val="auto"/>
                <w:lang w:val="en-US" w:eastAsia="zh-CN"/>
              </w:rPr>
              <w:t>与职业健康安全风险有关的</w:t>
            </w:r>
            <w:r>
              <w:rPr>
                <w:rFonts w:hint="eastAsia"/>
                <w:color w:val="auto"/>
              </w:rPr>
              <w:t>过程、产品和服务</w:t>
            </w:r>
            <w:r>
              <w:rPr>
                <w:rFonts w:hint="eastAsia"/>
                <w:color w:val="auto"/>
                <w:lang w:val="en-US" w:eastAsia="zh-CN"/>
              </w:rPr>
              <w:t>包括：</w:t>
            </w:r>
          </w:p>
          <w:p>
            <w:pPr>
              <w:keepNext w:val="0"/>
              <w:keepLines w:val="0"/>
              <w:suppressLineNumbers w:val="0"/>
              <w:spacing w:before="40" w:beforeAutospacing="0" w:after="40" w:afterAutospacing="0" w:line="240" w:lineRule="auto"/>
              <w:ind w:left="0" w:right="0" w:firstLine="210" w:firstLineChars="100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建筑施工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危化品采购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危化品贮存 </w:t>
            </w: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某加工工序 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放射线探伤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危险品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运输 </w:t>
            </w:r>
          </w:p>
          <w:p>
            <w:pPr>
              <w:keepNext w:val="0"/>
              <w:keepLines w:val="0"/>
              <w:suppressLineNumbers w:val="0"/>
              <w:spacing w:before="40" w:beforeAutospacing="0" w:after="40" w:afterAutospacing="0" w:line="240" w:lineRule="auto"/>
              <w:ind w:left="0" w:right="0" w:firstLine="210" w:firstLineChars="100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设备维修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人员培训 </w:t>
            </w:r>
            <w:r>
              <w:rPr>
                <w:rFonts w:hint="eastAsia"/>
                <w:color w:val="auto"/>
                <w:highlight w:val="none"/>
              </w:rPr>
              <w:sym w:font="Wingdings 2" w:char="0052"/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机械伤害：</w:t>
            </w:r>
            <w:r>
              <w:rPr>
                <w:rFonts w:hint="eastAsia"/>
                <w:szCs w:val="21"/>
                <w:lang w:val="en-US" w:eastAsia="zh-CN"/>
              </w:rPr>
              <w:t>无明显的危险因素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■摔倒：地面及时清理和清洁；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中暑：有空调、风扇；</w:t>
            </w:r>
            <w:r>
              <w:rPr>
                <w:szCs w:val="21"/>
              </w:rPr>
              <w:t>有冷饮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凉茶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触电：有过</w:t>
            </w:r>
            <w:r>
              <w:rPr>
                <w:rFonts w:hint="eastAsia"/>
                <w:szCs w:val="21"/>
                <w:lang w:val="en-US" w:eastAsia="zh-CN"/>
              </w:rPr>
              <w:t>载</w:t>
            </w:r>
            <w:r>
              <w:rPr>
                <w:rFonts w:hint="eastAsia"/>
                <w:szCs w:val="21"/>
              </w:rPr>
              <w:t>保护器；使用220V电压；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■安全用电：不随便拉电线，不随便使用大功率电器；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■消防：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备</w:t>
            </w:r>
            <w:r>
              <w:rPr>
                <w:rFonts w:hint="eastAsia" w:ascii="宋体" w:hAnsi="宋体"/>
                <w:szCs w:val="21"/>
              </w:rPr>
              <w:t>有消防栓、灭火器（干粉）；</w:t>
            </w:r>
            <w:r>
              <w:rPr>
                <w:color w:val="FF0000"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■体系成立以来未发生</w:t>
            </w:r>
            <w:r>
              <w:rPr>
                <w:rFonts w:hint="eastAsia"/>
                <w:szCs w:val="21"/>
              </w:rPr>
              <w:t>危险作业（登高、动火、临时</w:t>
            </w:r>
            <w:r>
              <w:rPr>
                <w:rFonts w:hint="eastAsia"/>
                <w:szCs w:val="21"/>
                <w:lang w:val="en-US" w:eastAsia="zh-CN"/>
              </w:rPr>
              <w:t>用</w:t>
            </w:r>
            <w:r>
              <w:rPr>
                <w:rFonts w:hint="eastAsia"/>
                <w:szCs w:val="21"/>
              </w:rPr>
              <w:t>电、受限空间等）；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■特种设备的使用：不使用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近一年无工伤发生；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对外包的控制</w:t>
            </w:r>
          </w:p>
          <w:p>
            <w:pPr>
              <w:rPr>
                <w:rFonts w:hint="default"/>
                <w:b/>
                <w:bCs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目前外包的过程：</w:t>
            </w:r>
            <w: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  <w:t xml:space="preserve">  </w:t>
            </w:r>
            <w:bookmarkStart w:id="1" w:name="_GoBack"/>
            <w: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  <w:t>销售部不涉及外包工作</w:t>
            </w:r>
            <w:r>
              <w:rPr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bookmarkEnd w:id="1"/>
            <w:r>
              <w:rPr>
                <w:rFonts w:hint="eastAsia"/>
                <w:b/>
                <w:bCs/>
                <w:color w:val="auto"/>
                <w:u w:val="single"/>
                <w:lang w:val="en-US" w:eastAsia="zh-CN"/>
              </w:rPr>
              <w:t xml:space="preserve">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查看与外包方签订的合同中是否明确了职业健康安全职责，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确定对外包的职能和过程实施控制的类型和程度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确保其外包安排符合法律法规要求和其他要求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  <w:p>
            <w:pPr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与实现职业健康安全管理体系的预期结果相一致</w:t>
            </w:r>
            <w:r>
              <w:rPr>
                <w:rFonts w:hint="eastAsia"/>
                <w:color w:val="auto"/>
                <w:lang w:val="en-US"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没有，说明：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消除危险源和降低职业健康安全风险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如：管理手册第8.1.2条款</w:t>
            </w:r>
            <w:r>
              <w:rPr>
                <w:rFonts w:hint="eastAsia"/>
                <w:szCs w:val="21"/>
              </w:rPr>
              <w:t>、《危险源辨识和风险评价控制程序》</w:t>
            </w:r>
          </w:p>
        </w:tc>
        <w:tc>
          <w:tcPr>
            <w:tcW w:w="1585" w:type="dxa"/>
            <w:vMerge w:val="restart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组织通过采用下列控制层级，建立、实施和保持用于消除危险源和降低职业健康安全风险的过程：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5"/>
              <w:gridCol w:w="4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控制层级</w:t>
                  </w:r>
                </w:p>
              </w:tc>
              <w:tc>
                <w:tcPr>
                  <w:tcW w:w="4778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举例说明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r>
                    <w:rPr>
                      <w:rFonts w:hint="eastAsia"/>
                    </w:rPr>
                    <w:t>消除危险源</w:t>
                  </w:r>
                </w:p>
              </w:tc>
              <w:tc>
                <w:tcPr>
                  <w:tcW w:w="4778" w:type="dxa"/>
                </w:tcPr>
                <w:p>
                  <w:r>
                    <w:rPr>
                      <w:rFonts w:hint="eastAsia"/>
                    </w:rPr>
                    <w:t>定期检修供电线路，增加防护措施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r>
                    <w:rPr>
                      <w:rFonts w:hint="eastAsia"/>
                    </w:rPr>
                    <w:t>用危险性低的过程、操作、材料或设备替代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本部门不适用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r>
                    <w:rPr>
                      <w:rFonts w:hint="eastAsia"/>
                    </w:rPr>
                    <w:t>采用工程控制和重新组织工作</w:t>
                  </w:r>
                </w:p>
              </w:tc>
              <w:tc>
                <w:tcPr>
                  <w:tcW w:w="4778" w:type="dxa"/>
                </w:tcPr>
                <w:p>
                  <w:r>
                    <w:rPr>
                      <w:rFonts w:hint="eastAsia"/>
                    </w:rPr>
                    <w:t>增加安全用电防护措施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</w:tcPr>
                <w:p>
                  <w:r>
                    <w:rPr>
                      <w:rFonts w:hint="eastAsia"/>
                    </w:rPr>
                    <w:t>采用管理控制，包括培训</w:t>
                  </w:r>
                </w:p>
              </w:tc>
              <w:tc>
                <w:tcPr>
                  <w:tcW w:w="4778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安全教育、人员</w:t>
                  </w:r>
                  <w:r>
                    <w:rPr>
                      <w:rFonts w:hint="eastAsia"/>
                      <w:lang w:val="en-US" w:eastAsia="zh-CN"/>
                    </w:rPr>
                    <w:t>培训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65" w:type="dxa"/>
                  <w:vAlign w:val="center"/>
                </w:tcPr>
                <w:p>
                  <w:r>
                    <w:rPr>
                      <w:rFonts w:hint="eastAsia"/>
                    </w:rPr>
                    <w:t>无偿使用适当的个体防护装备（PPE）</w:t>
                  </w:r>
                </w:p>
              </w:tc>
              <w:tc>
                <w:tcPr>
                  <w:tcW w:w="477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本部门不适用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60" w:type="dxa"/>
            <w:vMerge w:val="restart"/>
            <w:vAlign w:val="top"/>
          </w:tcPr>
          <w:p>
            <w:pPr>
              <w:pStyle w:val="16"/>
              <w:numPr>
                <w:numId w:val="0"/>
              </w:numPr>
              <w:rPr>
                <w:rFonts w:hint="eastAsia"/>
                <w:color w:val="auto"/>
              </w:rPr>
            </w:pPr>
            <w:bookmarkStart w:id="0" w:name="_Toc17985693"/>
            <w:r>
              <w:rPr>
                <w:rFonts w:hint="eastAsia"/>
                <w:color w:val="auto"/>
              </w:rPr>
              <w:t>采购</w:t>
            </w:r>
            <w:bookmarkEnd w:id="0"/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Q8.</w:t>
            </w: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 xml:space="preserve">4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如：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>《采购控制程序》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外部提供的过程、产品和服务包括：</w:t>
            </w:r>
          </w:p>
          <w:p>
            <w:pPr>
              <w:ind w:left="210" w:left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原材料采购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产品的设计和开发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>产品检测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某加工工序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部分产品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>工装订制</w:t>
            </w:r>
          </w:p>
          <w:p>
            <w:pPr>
              <w:ind w:left="210" w:left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设备维修 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运输 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售后服务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不合格品处置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顾客满意调查 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其他    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从《合格供方名单》中抽取下列证据：</w:t>
            </w: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 xml:space="preserve">外部供方的初始评价和选择要求—— 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充分 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不充分，说明： </w:t>
            </w:r>
            <w:r>
              <w:rPr>
                <w:rFonts w:hint="eastAsia"/>
                <w:color w:val="auto"/>
                <w:u w:val="single"/>
              </w:rPr>
              <w:t xml:space="preserve">                  </w:t>
            </w:r>
          </w:p>
          <w:p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抽查</w:t>
            </w:r>
            <w:r>
              <w:rPr>
                <w:rFonts w:hint="eastAsia"/>
                <w:b/>
                <w:bCs/>
                <w:color w:val="auto"/>
              </w:rPr>
              <w:t>外部供方</w:t>
            </w:r>
            <w:r>
              <w:rPr>
                <w:rFonts w:hint="eastAsia"/>
                <w:color w:val="auto"/>
              </w:rPr>
              <w:t>的评价记录名称：</w:t>
            </w:r>
            <w:r>
              <w:rPr>
                <w:rFonts w:hint="eastAsia"/>
                <w:color w:val="auto"/>
                <w:u w:val="single"/>
              </w:rPr>
              <w:t>《供</w:t>
            </w:r>
            <w:r>
              <w:rPr>
                <w:rFonts w:hint="eastAsia"/>
                <w:color w:val="auto"/>
                <w:u w:val="single"/>
                <w:lang w:eastAsia="zh-CN"/>
              </w:rPr>
              <w:t>应商评价</w:t>
            </w:r>
            <w:r>
              <w:rPr>
                <w:rFonts w:hint="eastAsia"/>
                <w:color w:val="auto"/>
                <w:u w:val="single"/>
              </w:rPr>
              <w:t>表》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  <w:vAlign w:val="center"/>
                </w:tcPr>
                <w:p>
                  <w:pPr>
                    <w:jc w:val="both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无锡迪特思金属科技有限公司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  <w:vAlign w:val="center"/>
                </w:tcPr>
                <w:p>
                  <w:pPr>
                    <w:jc w:val="both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螺栓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32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0213000201901160277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工业产品许可证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安全生产许可证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危化品经营许可证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  <w:vAlign w:val="top"/>
                </w:tcPr>
                <w:p>
                  <w:pPr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  <w:vAlign w:val="center"/>
                </w:tcPr>
                <w:p>
                  <w:pPr>
                    <w:jc w:val="both"/>
                    <w:rPr>
                      <w:rFonts w:hint="default"/>
                      <w:color w:val="auto"/>
                      <w:lang w:val="en-US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浙江戈唯特传递科技有限公司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  <w:vAlign w:val="center"/>
                </w:tcPr>
                <w:p>
                  <w:pPr>
                    <w:jc w:val="both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191812099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安全生产标准化</w:t>
                  </w:r>
                  <w:r>
                    <w:rPr>
                      <w:rFonts w:hint="eastAsia"/>
                      <w:color w:val="auto"/>
                    </w:rPr>
                    <w:t>证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书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排污许可证</w:t>
                  </w:r>
                  <w:r>
                    <w:rPr>
                      <w:rFonts w:hint="eastAsia"/>
                      <w:color w:val="auto"/>
                    </w:rPr>
                    <w:t>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不符合合格供方要求</w:t>
                  </w:r>
                </w:p>
              </w:tc>
            </w:tr>
          </w:tbl>
          <w:p>
            <w:pPr>
              <w:pStyle w:val="2"/>
              <w:rPr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>同时还抽查了 阀门 的供方 天津市贝斯特阀门科技股份有限公司 供方评价和选择控制情况。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 xml:space="preserve">一致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 xml:space="preserve">不充分，说明：                   </w:t>
            </w:r>
          </w:p>
        </w:tc>
        <w:tc>
          <w:tcPr>
            <w:tcW w:w="1585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《应急响应控制程序》、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《消防应急预案》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restart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《应急预案》包括：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消防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工伤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特种设备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触电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食物中毒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其他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936" w:type="dxa"/>
                  <w:vAlign w:val="top"/>
                </w:tcPr>
                <w:p>
                  <w:pPr>
                    <w:rPr>
                      <w:rFonts w:hint="eastAsia" w:eastAsia="宋体"/>
                      <w:color w:va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2020.12.25</w:t>
                  </w:r>
                </w:p>
              </w:tc>
              <w:tc>
                <w:tcPr>
                  <w:tcW w:w="2084" w:type="dxa"/>
                  <w:vAlign w:val="center"/>
                </w:tcPr>
                <w:p>
                  <w:pPr>
                    <w:jc w:val="both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sym w:font="Wingdings" w:char="00FE"/>
                  </w:r>
                  <w:r>
                    <w:rPr>
                      <w:rFonts w:hint="eastAsia" w:ascii="Times New Roman" w:hAnsi="Times New Roman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vertAlign w:val="baseline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</w:rPr>
                    <w:t>消防知识教育及应急模拟火灾消防演练记录</w:t>
                  </w:r>
                </w:p>
              </w:tc>
              <w:tc>
                <w:tcPr>
                  <w:tcW w:w="2110" w:type="dxa"/>
                  <w:vAlign w:val="top"/>
                </w:tcPr>
                <w:p>
                  <w:pP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应急预案可行、</w:t>
                  </w:r>
                </w:p>
                <w:p>
                  <w:pPr>
                    <w:rPr>
                      <w:rFonts w:hint="eastAsia"/>
                      <w:vertAlign w:val="baseline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2"/>
                      <w:highlight w:val="none"/>
                      <w:lang w:val="en-US" w:eastAsia="zh-CN" w:bidi="ar-SA"/>
                    </w:rPr>
                    <w:t>演练有效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84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实际发生</w:t>
                  </w: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  <w:sym w:font="Wingdings" w:char="00A8"/>
                  </w:r>
                  <w:r>
                    <w:rPr>
                      <w:rFonts w:hint="eastAsia" w:ascii="Times New Roman" w:hAnsi="Times New Roman" w:cs="Times New Roman"/>
                      <w:kern w:val="2"/>
                      <w:sz w:val="21"/>
                      <w:lang w:val="en-US" w:eastAsia="zh-CN" w:bidi="ar-SA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rFonts w:hint="eastAsia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对预案</w:t>
            </w:r>
            <w:r>
              <w:rPr>
                <w:rFonts w:hint="eastAsia"/>
                <w:lang w:eastAsia="zh-CN"/>
              </w:rPr>
              <w:t>定期评审</w:t>
            </w:r>
            <w:r>
              <w:rPr>
                <w:rFonts w:hint="eastAsia"/>
                <w:lang w:val="en-US" w:eastAsia="zh-CN"/>
              </w:rPr>
              <w:t>的日期：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每次演练后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修订响应措施</w:t>
            </w:r>
            <w:r>
              <w:rPr>
                <w:rFonts w:hint="eastAsia"/>
                <w:lang w:val="en-US" w:eastAsia="zh-CN"/>
              </w:rPr>
              <w:t>的内容：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无                     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《应急预案》在当地环保部门的备案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适当时，向</w:t>
            </w:r>
            <w:r>
              <w:rPr>
                <w:rFonts w:hint="eastAsia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未实施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vMerge w:val="continue"/>
          </w:tcPr>
          <w:p/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bOxG99IBAACO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%2.%3.%4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83D5C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113B23"/>
    <w:rsid w:val="021E04B6"/>
    <w:rsid w:val="02203F02"/>
    <w:rsid w:val="0228580F"/>
    <w:rsid w:val="026A697D"/>
    <w:rsid w:val="028120F9"/>
    <w:rsid w:val="02C75A20"/>
    <w:rsid w:val="02CE704D"/>
    <w:rsid w:val="03085664"/>
    <w:rsid w:val="0326784C"/>
    <w:rsid w:val="032F5195"/>
    <w:rsid w:val="03373FF4"/>
    <w:rsid w:val="03504EFA"/>
    <w:rsid w:val="035D4F91"/>
    <w:rsid w:val="036737B4"/>
    <w:rsid w:val="03A0688A"/>
    <w:rsid w:val="03A32F8E"/>
    <w:rsid w:val="03AC3D8E"/>
    <w:rsid w:val="03CE483E"/>
    <w:rsid w:val="03CF54E8"/>
    <w:rsid w:val="0405614C"/>
    <w:rsid w:val="040A269A"/>
    <w:rsid w:val="042332AF"/>
    <w:rsid w:val="044125D6"/>
    <w:rsid w:val="047A6FAA"/>
    <w:rsid w:val="04883DB3"/>
    <w:rsid w:val="04981EC9"/>
    <w:rsid w:val="04C420B7"/>
    <w:rsid w:val="050D3D1E"/>
    <w:rsid w:val="05422E8D"/>
    <w:rsid w:val="055022B5"/>
    <w:rsid w:val="05505823"/>
    <w:rsid w:val="056577F0"/>
    <w:rsid w:val="056A75E8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6F516FA"/>
    <w:rsid w:val="06FA3125"/>
    <w:rsid w:val="0700448C"/>
    <w:rsid w:val="07035A1D"/>
    <w:rsid w:val="078B332B"/>
    <w:rsid w:val="07C13D29"/>
    <w:rsid w:val="07ED0401"/>
    <w:rsid w:val="081B6228"/>
    <w:rsid w:val="081F3AAC"/>
    <w:rsid w:val="08767210"/>
    <w:rsid w:val="0884117F"/>
    <w:rsid w:val="08851DD7"/>
    <w:rsid w:val="08957BCC"/>
    <w:rsid w:val="08A65A0B"/>
    <w:rsid w:val="08C22483"/>
    <w:rsid w:val="08D22319"/>
    <w:rsid w:val="08ED1EE8"/>
    <w:rsid w:val="09005957"/>
    <w:rsid w:val="091B425F"/>
    <w:rsid w:val="09401E21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BC216E"/>
    <w:rsid w:val="0AC7305D"/>
    <w:rsid w:val="0ACA6ED2"/>
    <w:rsid w:val="0AEF4D8D"/>
    <w:rsid w:val="0B0C5CAD"/>
    <w:rsid w:val="0B10795D"/>
    <w:rsid w:val="0B3A4AAA"/>
    <w:rsid w:val="0B736E2A"/>
    <w:rsid w:val="0BE64DFF"/>
    <w:rsid w:val="0BF862B1"/>
    <w:rsid w:val="0C466D6D"/>
    <w:rsid w:val="0C5423F7"/>
    <w:rsid w:val="0C8009B8"/>
    <w:rsid w:val="0C842FD4"/>
    <w:rsid w:val="0CC102DA"/>
    <w:rsid w:val="0CC85F41"/>
    <w:rsid w:val="0CD5463E"/>
    <w:rsid w:val="0CEB516B"/>
    <w:rsid w:val="0D021D9E"/>
    <w:rsid w:val="0D181113"/>
    <w:rsid w:val="0D1E4D9B"/>
    <w:rsid w:val="0D4D1326"/>
    <w:rsid w:val="0D682672"/>
    <w:rsid w:val="0D6A2C36"/>
    <w:rsid w:val="0D780A9A"/>
    <w:rsid w:val="0D7B34FF"/>
    <w:rsid w:val="0D8452A5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2316C5"/>
    <w:rsid w:val="0F86648B"/>
    <w:rsid w:val="0FBB3782"/>
    <w:rsid w:val="0FDE4D72"/>
    <w:rsid w:val="0FFA42BF"/>
    <w:rsid w:val="100911EE"/>
    <w:rsid w:val="100B6D7F"/>
    <w:rsid w:val="100D075A"/>
    <w:rsid w:val="106A3497"/>
    <w:rsid w:val="108219C2"/>
    <w:rsid w:val="10991918"/>
    <w:rsid w:val="10A120FB"/>
    <w:rsid w:val="10AB5B5F"/>
    <w:rsid w:val="10B56B71"/>
    <w:rsid w:val="10C112A0"/>
    <w:rsid w:val="10C11C69"/>
    <w:rsid w:val="10C25B35"/>
    <w:rsid w:val="10C54500"/>
    <w:rsid w:val="10D61701"/>
    <w:rsid w:val="10DD2E35"/>
    <w:rsid w:val="110345D0"/>
    <w:rsid w:val="113330AF"/>
    <w:rsid w:val="113F6014"/>
    <w:rsid w:val="11536201"/>
    <w:rsid w:val="115D3DB9"/>
    <w:rsid w:val="117904D1"/>
    <w:rsid w:val="11BD2BE2"/>
    <w:rsid w:val="11BE2038"/>
    <w:rsid w:val="11C40475"/>
    <w:rsid w:val="11CD73E1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5DD042A"/>
    <w:rsid w:val="15E02CEB"/>
    <w:rsid w:val="160D3D01"/>
    <w:rsid w:val="16210B83"/>
    <w:rsid w:val="16583F2B"/>
    <w:rsid w:val="165E2DB5"/>
    <w:rsid w:val="16AB3CAD"/>
    <w:rsid w:val="16E341B9"/>
    <w:rsid w:val="16F10A78"/>
    <w:rsid w:val="17181C9F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0758B8"/>
    <w:rsid w:val="193C2BA0"/>
    <w:rsid w:val="19444428"/>
    <w:rsid w:val="19553BF7"/>
    <w:rsid w:val="195919F2"/>
    <w:rsid w:val="197008AF"/>
    <w:rsid w:val="19746F33"/>
    <w:rsid w:val="197E61C1"/>
    <w:rsid w:val="198F29B9"/>
    <w:rsid w:val="19D74BC7"/>
    <w:rsid w:val="19DE4928"/>
    <w:rsid w:val="19FD49DB"/>
    <w:rsid w:val="1A041A8F"/>
    <w:rsid w:val="1A0822F2"/>
    <w:rsid w:val="1A2573AF"/>
    <w:rsid w:val="1A546A4C"/>
    <w:rsid w:val="1A6C3FF9"/>
    <w:rsid w:val="1A996190"/>
    <w:rsid w:val="1AAF33A8"/>
    <w:rsid w:val="1AB42370"/>
    <w:rsid w:val="1ACF1254"/>
    <w:rsid w:val="1AED5B63"/>
    <w:rsid w:val="1B281F5C"/>
    <w:rsid w:val="1B462375"/>
    <w:rsid w:val="1B5E3B97"/>
    <w:rsid w:val="1B6B0728"/>
    <w:rsid w:val="1BBF5C04"/>
    <w:rsid w:val="1C392A3A"/>
    <w:rsid w:val="1C683E38"/>
    <w:rsid w:val="1CB1322F"/>
    <w:rsid w:val="1CB51621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AD0360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0F232A3"/>
    <w:rsid w:val="21A07B88"/>
    <w:rsid w:val="21A34258"/>
    <w:rsid w:val="21D24208"/>
    <w:rsid w:val="226B2F60"/>
    <w:rsid w:val="227B5AC7"/>
    <w:rsid w:val="22813299"/>
    <w:rsid w:val="229F2D1A"/>
    <w:rsid w:val="23363714"/>
    <w:rsid w:val="23461CA8"/>
    <w:rsid w:val="238A1BAA"/>
    <w:rsid w:val="23900E62"/>
    <w:rsid w:val="239B6EAC"/>
    <w:rsid w:val="239C1861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4FF596D"/>
    <w:rsid w:val="2519537A"/>
    <w:rsid w:val="252E4B6C"/>
    <w:rsid w:val="25391377"/>
    <w:rsid w:val="258041F6"/>
    <w:rsid w:val="258609CC"/>
    <w:rsid w:val="25B809C4"/>
    <w:rsid w:val="25C44216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331C5C"/>
    <w:rsid w:val="27443F4D"/>
    <w:rsid w:val="27471DBC"/>
    <w:rsid w:val="27487DA0"/>
    <w:rsid w:val="274B78E8"/>
    <w:rsid w:val="27516417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3E1857"/>
    <w:rsid w:val="29513E8D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A00560"/>
    <w:rsid w:val="2BD60481"/>
    <w:rsid w:val="2BDF4EF3"/>
    <w:rsid w:val="2BEA3FA7"/>
    <w:rsid w:val="2C2E44D4"/>
    <w:rsid w:val="2C7B6C71"/>
    <w:rsid w:val="2CE67CB5"/>
    <w:rsid w:val="2CFF5FB6"/>
    <w:rsid w:val="2D095658"/>
    <w:rsid w:val="2D357F0D"/>
    <w:rsid w:val="2D4459A1"/>
    <w:rsid w:val="2D4E604F"/>
    <w:rsid w:val="2D5C2AB0"/>
    <w:rsid w:val="2D7A20E6"/>
    <w:rsid w:val="2D7B66E3"/>
    <w:rsid w:val="2D8B3A57"/>
    <w:rsid w:val="2D913577"/>
    <w:rsid w:val="2D930B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7C614A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30128F"/>
    <w:rsid w:val="31675B01"/>
    <w:rsid w:val="319B6C9F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46443A"/>
    <w:rsid w:val="33562A0D"/>
    <w:rsid w:val="335C55FD"/>
    <w:rsid w:val="33715F28"/>
    <w:rsid w:val="33C65FCE"/>
    <w:rsid w:val="33F07155"/>
    <w:rsid w:val="340C6245"/>
    <w:rsid w:val="34113C74"/>
    <w:rsid w:val="343C4522"/>
    <w:rsid w:val="34763B6D"/>
    <w:rsid w:val="347A0336"/>
    <w:rsid w:val="348376B7"/>
    <w:rsid w:val="34F870D2"/>
    <w:rsid w:val="34F92D63"/>
    <w:rsid w:val="3545030D"/>
    <w:rsid w:val="35527F1F"/>
    <w:rsid w:val="356E7CA4"/>
    <w:rsid w:val="357914C0"/>
    <w:rsid w:val="35994264"/>
    <w:rsid w:val="35D721CD"/>
    <w:rsid w:val="36174333"/>
    <w:rsid w:val="3623081B"/>
    <w:rsid w:val="362B5212"/>
    <w:rsid w:val="364A3F09"/>
    <w:rsid w:val="367A501B"/>
    <w:rsid w:val="368F7817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032B78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0E0B2A"/>
    <w:rsid w:val="3A3E0D9F"/>
    <w:rsid w:val="3A5573DE"/>
    <w:rsid w:val="3A734128"/>
    <w:rsid w:val="3AAB1306"/>
    <w:rsid w:val="3ABB3480"/>
    <w:rsid w:val="3ABD0173"/>
    <w:rsid w:val="3AC172FF"/>
    <w:rsid w:val="3ACE23E2"/>
    <w:rsid w:val="3AEC3267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24558C"/>
    <w:rsid w:val="3DAB460B"/>
    <w:rsid w:val="3DDA7DB2"/>
    <w:rsid w:val="3E342793"/>
    <w:rsid w:val="3E3C5235"/>
    <w:rsid w:val="3EA34B57"/>
    <w:rsid w:val="3ED12579"/>
    <w:rsid w:val="3EDD2B90"/>
    <w:rsid w:val="3EE3221D"/>
    <w:rsid w:val="3EEF1E6E"/>
    <w:rsid w:val="3F532B3A"/>
    <w:rsid w:val="3F654598"/>
    <w:rsid w:val="3F8E03C8"/>
    <w:rsid w:val="3FA434FD"/>
    <w:rsid w:val="3FB850F1"/>
    <w:rsid w:val="3FC72695"/>
    <w:rsid w:val="3FD70A70"/>
    <w:rsid w:val="403F19EE"/>
    <w:rsid w:val="404047B5"/>
    <w:rsid w:val="404F3BBA"/>
    <w:rsid w:val="40571F31"/>
    <w:rsid w:val="40760623"/>
    <w:rsid w:val="408B7234"/>
    <w:rsid w:val="409D6F53"/>
    <w:rsid w:val="40E27AF7"/>
    <w:rsid w:val="40F80D82"/>
    <w:rsid w:val="41342A6B"/>
    <w:rsid w:val="413E43D5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2BF734E"/>
    <w:rsid w:val="432A5E11"/>
    <w:rsid w:val="433B1167"/>
    <w:rsid w:val="4352128B"/>
    <w:rsid w:val="435F500F"/>
    <w:rsid w:val="43C730CD"/>
    <w:rsid w:val="44350F69"/>
    <w:rsid w:val="44A567F5"/>
    <w:rsid w:val="45237F18"/>
    <w:rsid w:val="453B1EBC"/>
    <w:rsid w:val="4546133B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194E74"/>
    <w:rsid w:val="48262DE5"/>
    <w:rsid w:val="48ED577E"/>
    <w:rsid w:val="494E6F4C"/>
    <w:rsid w:val="495D1E4B"/>
    <w:rsid w:val="49912790"/>
    <w:rsid w:val="499E2087"/>
    <w:rsid w:val="49C0281D"/>
    <w:rsid w:val="49E14879"/>
    <w:rsid w:val="49E3211A"/>
    <w:rsid w:val="49E449BF"/>
    <w:rsid w:val="49EC77B8"/>
    <w:rsid w:val="49ED5B1C"/>
    <w:rsid w:val="49F46C27"/>
    <w:rsid w:val="4A3057A3"/>
    <w:rsid w:val="4A602126"/>
    <w:rsid w:val="4ACD7FB8"/>
    <w:rsid w:val="4AD45EF1"/>
    <w:rsid w:val="4AE04A18"/>
    <w:rsid w:val="4B337454"/>
    <w:rsid w:val="4B407CC6"/>
    <w:rsid w:val="4B42232B"/>
    <w:rsid w:val="4B464D61"/>
    <w:rsid w:val="4B825A76"/>
    <w:rsid w:val="4B8B3702"/>
    <w:rsid w:val="4B9B0D7E"/>
    <w:rsid w:val="4BC83B65"/>
    <w:rsid w:val="4C075A47"/>
    <w:rsid w:val="4C0C3B65"/>
    <w:rsid w:val="4C204239"/>
    <w:rsid w:val="4C247C80"/>
    <w:rsid w:val="4CA74E41"/>
    <w:rsid w:val="4CA91B51"/>
    <w:rsid w:val="4CB62537"/>
    <w:rsid w:val="4CD2365B"/>
    <w:rsid w:val="4D2562F4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BB3EBF"/>
    <w:rsid w:val="4F594843"/>
    <w:rsid w:val="4F88590D"/>
    <w:rsid w:val="50166FD7"/>
    <w:rsid w:val="503C3BCC"/>
    <w:rsid w:val="507C26C1"/>
    <w:rsid w:val="50804466"/>
    <w:rsid w:val="50C41CF1"/>
    <w:rsid w:val="50D5453F"/>
    <w:rsid w:val="51217DA6"/>
    <w:rsid w:val="51294703"/>
    <w:rsid w:val="51425A27"/>
    <w:rsid w:val="5158757E"/>
    <w:rsid w:val="51642DA6"/>
    <w:rsid w:val="521A5D1E"/>
    <w:rsid w:val="523624DE"/>
    <w:rsid w:val="52572FB0"/>
    <w:rsid w:val="526B2302"/>
    <w:rsid w:val="52735F79"/>
    <w:rsid w:val="52A23F56"/>
    <w:rsid w:val="52BA5471"/>
    <w:rsid w:val="52CC19B1"/>
    <w:rsid w:val="52D871F4"/>
    <w:rsid w:val="52F263D6"/>
    <w:rsid w:val="53024EB7"/>
    <w:rsid w:val="5306594E"/>
    <w:rsid w:val="531F2139"/>
    <w:rsid w:val="53261795"/>
    <w:rsid w:val="534F62F7"/>
    <w:rsid w:val="53660E02"/>
    <w:rsid w:val="536F60C1"/>
    <w:rsid w:val="53953BE7"/>
    <w:rsid w:val="53970F9D"/>
    <w:rsid w:val="53DB2F56"/>
    <w:rsid w:val="53F51637"/>
    <w:rsid w:val="54124FEF"/>
    <w:rsid w:val="541C4B67"/>
    <w:rsid w:val="54E7536E"/>
    <w:rsid w:val="550429BE"/>
    <w:rsid w:val="552A2893"/>
    <w:rsid w:val="55436287"/>
    <w:rsid w:val="556B045B"/>
    <w:rsid w:val="557D4E77"/>
    <w:rsid w:val="55C375DD"/>
    <w:rsid w:val="56026B10"/>
    <w:rsid w:val="56156439"/>
    <w:rsid w:val="56270CFC"/>
    <w:rsid w:val="563A02F6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2C648F"/>
    <w:rsid w:val="58584813"/>
    <w:rsid w:val="58B728A2"/>
    <w:rsid w:val="58B868EB"/>
    <w:rsid w:val="58CD6892"/>
    <w:rsid w:val="58CE1CB7"/>
    <w:rsid w:val="58D46744"/>
    <w:rsid w:val="590D059A"/>
    <w:rsid w:val="59161F0B"/>
    <w:rsid w:val="592802C2"/>
    <w:rsid w:val="5953202C"/>
    <w:rsid w:val="5968271A"/>
    <w:rsid w:val="5978735A"/>
    <w:rsid w:val="59963397"/>
    <w:rsid w:val="59C225AF"/>
    <w:rsid w:val="59E42114"/>
    <w:rsid w:val="59E710C8"/>
    <w:rsid w:val="59EF09F5"/>
    <w:rsid w:val="5A0D1ED3"/>
    <w:rsid w:val="5A1C59A1"/>
    <w:rsid w:val="5A407674"/>
    <w:rsid w:val="5A432974"/>
    <w:rsid w:val="5A67161C"/>
    <w:rsid w:val="5A6A20C5"/>
    <w:rsid w:val="5A6C2417"/>
    <w:rsid w:val="5A8A4CE8"/>
    <w:rsid w:val="5AD64AF2"/>
    <w:rsid w:val="5AF377C8"/>
    <w:rsid w:val="5AF525A3"/>
    <w:rsid w:val="5AF97A41"/>
    <w:rsid w:val="5B0449BC"/>
    <w:rsid w:val="5B513157"/>
    <w:rsid w:val="5B517209"/>
    <w:rsid w:val="5B544EB3"/>
    <w:rsid w:val="5B6A33DD"/>
    <w:rsid w:val="5B7C5AEB"/>
    <w:rsid w:val="5BA75CC0"/>
    <w:rsid w:val="5BF04FFA"/>
    <w:rsid w:val="5C241AEE"/>
    <w:rsid w:val="5C4D2649"/>
    <w:rsid w:val="5C8D6CFF"/>
    <w:rsid w:val="5C966EB6"/>
    <w:rsid w:val="5C9808B2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3162C0"/>
    <w:rsid w:val="5F551AC0"/>
    <w:rsid w:val="5F616E2A"/>
    <w:rsid w:val="5FCC65B3"/>
    <w:rsid w:val="5FE015B4"/>
    <w:rsid w:val="6018182B"/>
    <w:rsid w:val="601E0F43"/>
    <w:rsid w:val="60250281"/>
    <w:rsid w:val="604E6EEE"/>
    <w:rsid w:val="60596F8D"/>
    <w:rsid w:val="608075E1"/>
    <w:rsid w:val="60D36AAC"/>
    <w:rsid w:val="60E47C4C"/>
    <w:rsid w:val="61326FB1"/>
    <w:rsid w:val="61384C31"/>
    <w:rsid w:val="6151193F"/>
    <w:rsid w:val="61857CB5"/>
    <w:rsid w:val="61E77A7E"/>
    <w:rsid w:val="622A4138"/>
    <w:rsid w:val="623523C8"/>
    <w:rsid w:val="62385483"/>
    <w:rsid w:val="62385A6C"/>
    <w:rsid w:val="625901DA"/>
    <w:rsid w:val="62876D77"/>
    <w:rsid w:val="62CA4AF4"/>
    <w:rsid w:val="62E4371E"/>
    <w:rsid w:val="62FD1DFD"/>
    <w:rsid w:val="63153C43"/>
    <w:rsid w:val="632045D1"/>
    <w:rsid w:val="632C13B4"/>
    <w:rsid w:val="6342544F"/>
    <w:rsid w:val="63720424"/>
    <w:rsid w:val="63A31ABC"/>
    <w:rsid w:val="63C65078"/>
    <w:rsid w:val="63D330CC"/>
    <w:rsid w:val="63EA156F"/>
    <w:rsid w:val="63EA6D88"/>
    <w:rsid w:val="64106CE7"/>
    <w:rsid w:val="64471AFC"/>
    <w:rsid w:val="64621F9C"/>
    <w:rsid w:val="64A41F12"/>
    <w:rsid w:val="64A537DD"/>
    <w:rsid w:val="64B51DAE"/>
    <w:rsid w:val="64B96E85"/>
    <w:rsid w:val="64BB6795"/>
    <w:rsid w:val="64D069A0"/>
    <w:rsid w:val="64F27E75"/>
    <w:rsid w:val="65067C78"/>
    <w:rsid w:val="65305A43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52E55"/>
    <w:rsid w:val="675A3B6C"/>
    <w:rsid w:val="678B4DA6"/>
    <w:rsid w:val="67AF7DB6"/>
    <w:rsid w:val="67ED5C78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6D3E06"/>
    <w:rsid w:val="69B35A0D"/>
    <w:rsid w:val="69CA05FB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D82AE5"/>
    <w:rsid w:val="6BF66D35"/>
    <w:rsid w:val="6C1272FC"/>
    <w:rsid w:val="6C3014BE"/>
    <w:rsid w:val="6C5D414F"/>
    <w:rsid w:val="6C77423E"/>
    <w:rsid w:val="6C943419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20821"/>
    <w:rsid w:val="6EB36C33"/>
    <w:rsid w:val="6EB55D09"/>
    <w:rsid w:val="6EBD0EA6"/>
    <w:rsid w:val="6F2E7208"/>
    <w:rsid w:val="6F430414"/>
    <w:rsid w:val="6F435405"/>
    <w:rsid w:val="6F4810D8"/>
    <w:rsid w:val="6F6D2BAA"/>
    <w:rsid w:val="6F9A4A47"/>
    <w:rsid w:val="6FDC792B"/>
    <w:rsid w:val="701710D0"/>
    <w:rsid w:val="702520EE"/>
    <w:rsid w:val="702547C4"/>
    <w:rsid w:val="703777AC"/>
    <w:rsid w:val="70795456"/>
    <w:rsid w:val="70942C9E"/>
    <w:rsid w:val="709946EC"/>
    <w:rsid w:val="71180D95"/>
    <w:rsid w:val="71B20425"/>
    <w:rsid w:val="724C0EF1"/>
    <w:rsid w:val="724D262A"/>
    <w:rsid w:val="72702455"/>
    <w:rsid w:val="728F2E47"/>
    <w:rsid w:val="72973011"/>
    <w:rsid w:val="72A24472"/>
    <w:rsid w:val="72CD6505"/>
    <w:rsid w:val="72E42D1B"/>
    <w:rsid w:val="730C52E1"/>
    <w:rsid w:val="734F0911"/>
    <w:rsid w:val="736054C4"/>
    <w:rsid w:val="736B3914"/>
    <w:rsid w:val="736C572D"/>
    <w:rsid w:val="7380456B"/>
    <w:rsid w:val="7386292E"/>
    <w:rsid w:val="73A422EB"/>
    <w:rsid w:val="73C80EF6"/>
    <w:rsid w:val="74103E55"/>
    <w:rsid w:val="74456E15"/>
    <w:rsid w:val="745B622A"/>
    <w:rsid w:val="753E2D2E"/>
    <w:rsid w:val="753F2F7D"/>
    <w:rsid w:val="757D4B9C"/>
    <w:rsid w:val="75B40EC2"/>
    <w:rsid w:val="75C1632C"/>
    <w:rsid w:val="75DA6644"/>
    <w:rsid w:val="75DB13A5"/>
    <w:rsid w:val="75E552E3"/>
    <w:rsid w:val="76286C3F"/>
    <w:rsid w:val="7648538B"/>
    <w:rsid w:val="76531223"/>
    <w:rsid w:val="766847F5"/>
    <w:rsid w:val="76BD747C"/>
    <w:rsid w:val="76CD52EB"/>
    <w:rsid w:val="76FE004A"/>
    <w:rsid w:val="770413F5"/>
    <w:rsid w:val="7755536A"/>
    <w:rsid w:val="778C5BD9"/>
    <w:rsid w:val="77A268F6"/>
    <w:rsid w:val="77A519A7"/>
    <w:rsid w:val="77B415CE"/>
    <w:rsid w:val="77CC3658"/>
    <w:rsid w:val="77E26A35"/>
    <w:rsid w:val="77F2561D"/>
    <w:rsid w:val="780F54C3"/>
    <w:rsid w:val="782C6CF7"/>
    <w:rsid w:val="78644FBF"/>
    <w:rsid w:val="78680ECD"/>
    <w:rsid w:val="787F150D"/>
    <w:rsid w:val="787F4828"/>
    <w:rsid w:val="7880670B"/>
    <w:rsid w:val="78887263"/>
    <w:rsid w:val="78956590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8868F4"/>
    <w:rsid w:val="7A946C2F"/>
    <w:rsid w:val="7A9A559C"/>
    <w:rsid w:val="7AB76752"/>
    <w:rsid w:val="7AC22B97"/>
    <w:rsid w:val="7AF6556E"/>
    <w:rsid w:val="7B1F77A4"/>
    <w:rsid w:val="7B292799"/>
    <w:rsid w:val="7BC66876"/>
    <w:rsid w:val="7BCF2874"/>
    <w:rsid w:val="7C0471A6"/>
    <w:rsid w:val="7C090682"/>
    <w:rsid w:val="7C42064D"/>
    <w:rsid w:val="7C6A6CA8"/>
    <w:rsid w:val="7C884FFE"/>
    <w:rsid w:val="7CA272FD"/>
    <w:rsid w:val="7CB31FBB"/>
    <w:rsid w:val="7CB938A2"/>
    <w:rsid w:val="7CE14EDD"/>
    <w:rsid w:val="7CF04E00"/>
    <w:rsid w:val="7D180F86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3A3A03"/>
    <w:rsid w:val="7F541664"/>
    <w:rsid w:val="7F697999"/>
    <w:rsid w:val="7F9026D0"/>
    <w:rsid w:val="7F984417"/>
    <w:rsid w:val="7FC35D7C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三级条标题"/>
    <w:basedOn w:val="16"/>
    <w:next w:val="14"/>
    <w:qFormat/>
    <w:uiPriority w:val="0"/>
    <w:pPr>
      <w:numPr>
        <w:ilvl w:val="4"/>
        <w:numId w:val="1"/>
      </w:numPr>
      <w:outlineLvl w:val="4"/>
    </w:pPr>
  </w:style>
  <w:style w:type="paragraph" w:customStyle="1" w:styleId="16">
    <w:name w:val="二级条标题"/>
    <w:basedOn w:val="17"/>
    <w:next w:val="14"/>
    <w:qFormat/>
    <w:uiPriority w:val="0"/>
    <w:pPr>
      <w:numPr>
        <w:ilvl w:val="3"/>
        <w:numId w:val="1"/>
      </w:numPr>
      <w:outlineLvl w:val="3"/>
    </w:pPr>
  </w:style>
  <w:style w:type="paragraph" w:customStyle="1" w:styleId="17">
    <w:name w:val="一级条标题"/>
    <w:next w:val="14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</TotalTime>
  <ScaleCrop>false</ScaleCrop>
  <LinksUpToDate>false</LinksUpToDate>
  <CharactersWithSpaces>147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张磊</cp:lastModifiedBy>
  <dcterms:modified xsi:type="dcterms:W3CDTF">2021-05-21T01:49:19Z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4AD95B175C1E4B85919A36080EA611C2</vt:lpwstr>
  </property>
</Properties>
</file>