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lang w:val="en-US" w:eastAsia="zh-CN" w:bidi="ar-SA"/>
              </w:rPr>
              <w:t>综合管理部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陪同人员：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宋文君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     </w:t>
            </w:r>
            <w:r>
              <w:rPr>
                <w:rFonts w:hint="eastAsia"/>
                <w:sz w:val="24"/>
                <w:szCs w:val="24"/>
              </w:rPr>
              <w:t xml:space="preserve">     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O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6.1.2/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6.2/7.2/7.4/7.5/8.1/8.1.2/8.1.3/8.2/9.1.1/9.1.2/9.2/10.2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auto"/>
              </w:rPr>
              <w:t>危险源辨识、风险评价和控制措施的确定程序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7"/>
              <w:tblW w:w="90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9"/>
              <w:gridCol w:w="2280"/>
              <w:gridCol w:w="4568"/>
              <w:gridCol w:w="8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88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568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1、定期对办公设备、电脑进行检修、保养；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2、定期检查漏电保护器；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3、办公现场进行安全用电进行培训。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综合管理部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触电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568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1、禁烟禁火，安全用电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2、疏散通道禁止堆放障碍物。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3、配备充足的灭火器。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4、加强禁火管理和应急教育。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综合管理部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>
            <w:pPr>
              <w:pStyle w:val="2"/>
            </w:pP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O6.2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</w:t>
            </w:r>
            <w:r>
              <w:rPr>
                <w:rFonts w:hint="eastAsia"/>
                <w:vertAlign w:val="baseline"/>
                <w:lang w:val="en-US" w:eastAsia="zh-CN"/>
              </w:rPr>
              <w:t>质量目标和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59"/>
              <w:gridCol w:w="2632"/>
              <w:gridCol w:w="128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火灾事故发生率为0</w:t>
                  </w: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综合管理部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触电事故发生率为0</w:t>
                  </w: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综合管理部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机械伤害事故发生率为0</w:t>
                  </w: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综合管理部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7.2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程序》、《能力和意识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查看</w:t>
            </w:r>
            <w:r>
              <w:rPr>
                <w:rFonts w:hint="eastAsia"/>
                <w:highlight w:val="none"/>
              </w:rPr>
              <w:t>《岗位任职能力描述》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☑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>充分</w:t>
            </w:r>
            <w:r>
              <w:rPr>
                <w:rFonts w:hint="eastAsia"/>
                <w:highlight w:val="none"/>
              </w:rPr>
              <w:t xml:space="preserve">有效   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□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>不足，说明：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抽查任职能力情况：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bookmarkStart w:id="1" w:name="_GoBack"/>
                  <w:r>
                    <w:rPr>
                      <w:rFonts w:hint="eastAsia"/>
                      <w:color w:val="auto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任职要求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学历/专业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工作经历年限</w:t>
                  </w:r>
                </w:p>
              </w:tc>
              <w:tc>
                <w:tcPr>
                  <w:tcW w:w="235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bCs/>
                      <w:color w:val="auto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auto"/>
                      <w:kern w:val="2"/>
                      <w:sz w:val="24"/>
                      <w:szCs w:val="24"/>
                      <w:lang w:val="en-US" w:eastAsia="zh-CN"/>
                    </w:rPr>
                    <w:t>蒋丽姣</w:t>
                  </w:r>
                </w:p>
                <w:p>
                  <w:pPr>
                    <w:jc w:val="both"/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管理者代表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学历：大专及以上学历</w:t>
                  </w:r>
                </w:p>
                <w:p>
                  <w:pPr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培训：无</w:t>
                  </w:r>
                </w:p>
                <w:p>
                  <w:pPr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3年以上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</w:t>
                  </w:r>
                </w:p>
                <w:p>
                  <w:pPr>
                    <w:tabs>
                      <w:tab w:val="left" w:pos="1215"/>
                    </w:tabs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金融管理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徐健</w:t>
                  </w:r>
                </w:p>
                <w:p>
                  <w:pPr>
                    <w:jc w:val="both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销售部经理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学历：大专及以上学历</w:t>
                  </w:r>
                </w:p>
                <w:p>
                  <w:pPr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培训：无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工作经历：无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</w:t>
                  </w:r>
                </w:p>
                <w:p>
                  <w:pPr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机电一体化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丁其锋</w:t>
                  </w:r>
                </w:p>
                <w:p>
                  <w:pPr>
                    <w:pStyle w:val="2"/>
                    <w:jc w:val="both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eastAsia="zh-CN"/>
                    </w:rPr>
                    <w:t>生产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部经理</w:t>
                  </w:r>
                </w:p>
              </w:tc>
              <w:tc>
                <w:tcPr>
                  <w:tcW w:w="2230" w:type="dxa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学历：大专及以上学历</w:t>
                  </w:r>
                </w:p>
                <w:p>
                  <w:pPr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培训：无</w:t>
                  </w:r>
                </w:p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5年以上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学历：本科</w:t>
                  </w:r>
                </w:p>
                <w:p>
                  <w:pPr>
                    <w:tabs>
                      <w:tab w:val="left" w:pos="1215"/>
                    </w:tabs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专业：</w:t>
                  </w:r>
                  <w:r>
                    <w:rPr>
                      <w:color w:val="auto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工商管理</w:t>
                  </w:r>
                  <w:r>
                    <w:rPr>
                      <w:color w:val="auto"/>
                    </w:rPr>
                    <w:tab/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ind w:left="240" w:leftChars="0" w:hanging="240" w:hangingChars="10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蔡良忠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技术员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  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学历：高中及以上学历</w:t>
                  </w:r>
                </w:p>
                <w:p>
                  <w:pPr>
                    <w:jc w:val="both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专业：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无</w:t>
                  </w:r>
                </w:p>
                <w:p>
                  <w:pPr>
                    <w:jc w:val="both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培训：无</w:t>
                  </w:r>
                </w:p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5年以上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学历：本科</w:t>
                  </w:r>
                </w:p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专业：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机械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不胜任</w:t>
                  </w:r>
                </w:p>
              </w:tc>
            </w:tr>
            <w:bookmarkEnd w:id="1"/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  <w:t>获得所需的能力</w:t>
            </w: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所</w:t>
            </w:r>
            <w: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  <w:t>采取措施</w:t>
            </w: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培训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调整岗位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岗位辅导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招聘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劳务外包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招聘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暂无计划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1616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不适用</w:t>
                  </w:r>
                </w:p>
              </w:tc>
            </w:tr>
          </w:tbl>
          <w:p>
            <w:pP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培训过程的控制：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5"/>
              <w:gridCol w:w="2576"/>
              <w:gridCol w:w="1552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3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计划培训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57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培训记录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55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参加部门/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2021.1.4</w:t>
                  </w:r>
                </w:p>
              </w:tc>
              <w:tc>
                <w:tcPr>
                  <w:tcW w:w="257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QEO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贯标培训</w:t>
                  </w:r>
                </w:p>
              </w:tc>
              <w:tc>
                <w:tcPr>
                  <w:tcW w:w="15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全员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eastAsia" w:ascii="Calibri" w:hAnsi="Calibri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口试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2021.2.24</w:t>
                  </w:r>
                </w:p>
              </w:tc>
              <w:tc>
                <w:tcPr>
                  <w:tcW w:w="25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Cs w:val="22"/>
                      <w:lang w:val="en-US" w:eastAsia="zh-CN"/>
                    </w:rPr>
                    <w:t>环境管理的相关法律法规</w:t>
                  </w:r>
                </w:p>
              </w:tc>
              <w:tc>
                <w:tcPr>
                  <w:tcW w:w="15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全员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eastAsia" w:ascii="Calibri" w:hAnsi="Calibri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口试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2021.3.1</w:t>
                  </w:r>
                </w:p>
              </w:tc>
              <w:tc>
                <w:tcPr>
                  <w:tcW w:w="25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内审基本知识</w:t>
                  </w:r>
                </w:p>
              </w:tc>
              <w:tc>
                <w:tcPr>
                  <w:tcW w:w="15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各部门负责人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eastAsia" w:ascii="Calibri" w:hAnsi="Calibri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口试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持证上岗人员的控制：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305"/>
              <w:gridCol w:w="172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b/>
                      <w:color w:val="auto"/>
                    </w:rPr>
                  </w:pPr>
                  <w:r>
                    <w:rPr>
                      <w:rFonts w:hint="eastAsia"/>
                      <w:b/>
                      <w:color w:val="auto"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姓名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资格证书</w:t>
                  </w:r>
                </w:p>
              </w:tc>
              <w:tc>
                <w:tcPr>
                  <w:tcW w:w="1720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发证日期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eastAsia" w:eastAsia="宋体"/>
                      <w:color w:val="auto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电</w:t>
                  </w:r>
                  <w:r>
                    <w:rPr>
                      <w:rFonts w:hint="eastAsia"/>
                      <w:color w:val="auto"/>
                      <w:szCs w:val="22"/>
                    </w:rPr>
                    <w:t>焊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吴汉民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1410030000309862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20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14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起重机操作员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胡逸飞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320282199106037815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2020.10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eastAsia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吴红伟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T32028219881025443X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2019.5.13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hint="eastAsia"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Calibri" w:hAnsi="Calibri" w:eastAsia="宋体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检查</w:t>
            </w:r>
            <w:r>
              <w:rPr>
                <w:rFonts w:hint="eastAsia"/>
                <w:highlight w:val="none"/>
              </w:rPr>
              <w:t>三级安全教育</w:t>
            </w:r>
            <w:r>
              <w:rPr>
                <w:rFonts w:hint="eastAsia"/>
                <w:highlight w:val="none"/>
                <w:lang w:val="en-US" w:eastAsia="zh-CN"/>
              </w:rPr>
              <w:t>的情况（体系建立以来新建《</w:t>
            </w:r>
            <w:r>
              <w:rPr>
                <w:rFonts w:hint="eastAsia"/>
                <w:szCs w:val="22"/>
                <w:highlight w:val="none"/>
              </w:rPr>
              <w:t>工人三级安全教育记录卡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  <w:lang w:val="en-US" w:eastAsia="zh-CN"/>
              </w:rPr>
              <w:t>）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1503"/>
              <w:gridCol w:w="2090"/>
              <w:gridCol w:w="1886"/>
              <w:gridCol w:w="18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jc w:val="center"/>
                    <w:rPr>
                      <w:rFonts w:hint="eastAsia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员工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1503" w:type="dxa"/>
                </w:tcPr>
                <w:p>
                  <w:pPr>
                    <w:spacing w:after="0" w:line="240" w:lineRule="auto"/>
                    <w:jc w:val="center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建卡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日期</w:t>
                  </w:r>
                </w:p>
              </w:tc>
              <w:tc>
                <w:tcPr>
                  <w:tcW w:w="2090" w:type="dxa"/>
                </w:tcPr>
                <w:p>
                  <w:pPr>
                    <w:spacing w:after="0" w:line="240" w:lineRule="auto"/>
                    <w:jc w:val="center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厂级教育日期/时间</w:t>
                  </w:r>
                </w:p>
              </w:tc>
              <w:tc>
                <w:tcPr>
                  <w:tcW w:w="1886" w:type="dxa"/>
                </w:tcPr>
                <w:p>
                  <w:pPr>
                    <w:spacing w:after="0" w:line="240" w:lineRule="auto"/>
                    <w:jc w:val="center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车间级教育</w:t>
                  </w:r>
                </w:p>
              </w:tc>
              <w:tc>
                <w:tcPr>
                  <w:tcW w:w="1823" w:type="dxa"/>
                </w:tcPr>
                <w:p>
                  <w:pPr>
                    <w:spacing w:after="0" w:line="240" w:lineRule="auto"/>
                    <w:jc w:val="center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班组级教育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  <w:t>蔡良忠_</w:t>
                  </w:r>
                </w:p>
              </w:tc>
              <w:tc>
                <w:tcPr>
                  <w:tcW w:w="1503" w:type="dxa"/>
                </w:tcPr>
                <w:p>
                  <w:pPr>
                    <w:spacing w:after="0" w:line="240" w:lineRule="auto"/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  <w:t>2021.2.24</w:t>
                  </w:r>
                </w:p>
              </w:tc>
              <w:tc>
                <w:tcPr>
                  <w:tcW w:w="2090" w:type="dxa"/>
                </w:tcPr>
                <w:p>
                  <w:pPr>
                    <w:spacing w:after="0" w:line="240" w:lineRule="auto"/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24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</w:tc>
              <w:tc>
                <w:tcPr>
                  <w:tcW w:w="1886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25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</w:tc>
              <w:tc>
                <w:tcPr>
                  <w:tcW w:w="1823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26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2"/>
                      <w:sz w:val="24"/>
                      <w:szCs w:val="24"/>
                      <w:u w:val="single"/>
                      <w:lang w:val="en-US" w:eastAsia="zh-CN"/>
                    </w:rPr>
                    <w:t>付阳友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  <w:t>2021.2.24</w:t>
                  </w: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24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</w:tc>
              <w:tc>
                <w:tcPr>
                  <w:tcW w:w="1886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25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</w:tc>
              <w:tc>
                <w:tcPr>
                  <w:tcW w:w="1823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26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86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23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7.4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如：《信息沟通控制程序》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组织考虑了合规义务，确保环境信息与环境管理体系形成的信息一致且真实可信。</w:t>
            </w:r>
          </w:p>
          <w:p/>
          <w:p>
            <w:r>
              <w:rPr>
                <w:rFonts w:hint="eastAsia"/>
              </w:rPr>
              <w:t>外部沟通的控制：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沟通日期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沟通的内容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2020.6.3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安全检查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宜兴市远安安全技术服务有限公司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安全检查与隐患整改汇总表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已</w:t>
                  </w: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完成整改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内部沟通的控制：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2020-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QEO标准培训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全员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>
                  <w: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 w:val="24"/>
                    </w:rPr>
                    <w:t>202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.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销售服务规范和业绩考核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新员工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>
                  <w: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 w:val="24"/>
                    </w:rPr>
                    <w:t>202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.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环保意识培训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全员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>
                  <w: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已完成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7.5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Q7.5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如：《文件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程序》、《记录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查看《受控文件清单》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3"/>
              <w:gridCol w:w="1624"/>
              <w:gridCol w:w="1120"/>
              <w:gridCol w:w="871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3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24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120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审批日期</w:t>
                  </w:r>
                </w:p>
              </w:tc>
              <w:tc>
                <w:tcPr>
                  <w:tcW w:w="871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评审日期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</w:trPr>
              <w:tc>
                <w:tcPr>
                  <w:tcW w:w="1543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管理手册</w:t>
                  </w:r>
                </w:p>
              </w:tc>
              <w:tc>
                <w:tcPr>
                  <w:tcW w:w="1624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2020-12</w:t>
                  </w:r>
                </w:p>
              </w:tc>
              <w:tc>
                <w:tcPr>
                  <w:tcW w:w="871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2020-12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综合管理部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6" w:hRule="atLeast"/>
              </w:trPr>
              <w:tc>
                <w:tcPr>
                  <w:tcW w:w="1543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t>程序文件</w:t>
                  </w:r>
                </w:p>
              </w:tc>
              <w:tc>
                <w:tcPr>
                  <w:tcW w:w="1624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color w:val="auto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2020-12</w:t>
                  </w:r>
                </w:p>
              </w:tc>
              <w:tc>
                <w:tcPr>
                  <w:tcW w:w="871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2020-12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综合管理部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应急准备和响应控制程序</w:t>
                  </w:r>
                </w:p>
              </w:tc>
              <w:tc>
                <w:tcPr>
                  <w:tcW w:w="162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2020-12</w:t>
                  </w:r>
                </w:p>
              </w:tc>
              <w:tc>
                <w:tcPr>
                  <w:tcW w:w="871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2020-12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综合管理部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文件修改控制： 无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作废处理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电子文件系统管理：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定期杀毒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定期备份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限值上网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取消USB端口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外来文件控制</w:t>
            </w:r>
          </w:p>
          <w:tbl>
            <w:tblPr>
              <w:tblStyle w:val="8"/>
              <w:tblW w:w="90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1"/>
              <w:gridCol w:w="1745"/>
              <w:gridCol w:w="1172"/>
              <w:gridCol w:w="1218"/>
              <w:gridCol w:w="1810"/>
              <w:gridCol w:w="12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1" w:type="dxa"/>
                </w:tcPr>
                <w:p>
                  <w:pPr>
                    <w:jc w:val="center"/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收集日期</w:t>
                  </w:r>
                </w:p>
              </w:tc>
              <w:tc>
                <w:tcPr>
                  <w:tcW w:w="1218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使用方法</w:t>
                  </w:r>
                </w:p>
              </w:tc>
              <w:tc>
                <w:tcPr>
                  <w:tcW w:w="1278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1791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环境保护法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综合管理部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1" w:type="dxa"/>
                  <w:vAlign w:val="center"/>
                </w:tcPr>
                <w:p>
                  <w:pPr>
                    <w:pStyle w:val="19"/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大气污染保护法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综合管理部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1" w:type="dxa"/>
                </w:tcPr>
                <w:p>
                  <w:pPr>
                    <w:pStyle w:val="19"/>
                    <w:numPr>
                      <w:ilvl w:val="0"/>
                      <w:numId w:val="0"/>
                    </w:numPr>
                    <w:ind w:leftChars="0"/>
                    <w:rPr>
                      <w:rFonts w:hint="default" w:ascii="宋体" w:hAnsi="宋体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质量管理体系  要求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综合管理部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职业健康安全管理体系  要求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综合管理部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记录（音频、视频、图片等证据）控制</w:t>
            </w:r>
          </w:p>
          <w:tbl>
            <w:tblPr>
              <w:tblStyle w:val="8"/>
              <w:tblW w:w="89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2"/>
              <w:gridCol w:w="1684"/>
              <w:gridCol w:w="1099"/>
              <w:gridCol w:w="1218"/>
              <w:gridCol w:w="1542"/>
              <w:gridCol w:w="1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填制日期（月）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处理方式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2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培训记录表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综合管理部</w:t>
                  </w:r>
                </w:p>
              </w:tc>
              <w:tc>
                <w:tcPr>
                  <w:tcW w:w="1542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2" w:type="dxa"/>
                </w:tcPr>
                <w:p>
                  <w:pP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基础设施一览表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长期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综合管理部</w:t>
                  </w:r>
                </w:p>
              </w:tc>
              <w:tc>
                <w:tcPr>
                  <w:tcW w:w="1542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2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设备维护保养记录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综合管理部</w:t>
                  </w:r>
                </w:p>
              </w:tc>
              <w:tc>
                <w:tcPr>
                  <w:tcW w:w="1542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</w:t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环境、安全运行控制程</w:t>
            </w:r>
            <w:r>
              <w:rPr>
                <w:rFonts w:hint="eastAsia"/>
                <w:highlight w:val="none"/>
                <w:lang w:val="en-US" w:eastAsia="zh-CN"/>
              </w:rPr>
              <w:t>序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19"/>
              <w:gridCol w:w="2615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步骤</w:t>
                  </w:r>
                </w:p>
              </w:tc>
              <w:tc>
                <w:tcPr>
                  <w:tcW w:w="261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职业健康安全措施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措施评估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9" w:type="dxa"/>
                </w:tcPr>
                <w:p>
                  <w:pPr>
                    <w:rPr>
                      <w:rFonts w:hint="default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建立过程准则；</w:t>
                  </w:r>
                </w:p>
              </w:tc>
              <w:tc>
                <w:tcPr>
                  <w:tcW w:w="26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编制安全操作规程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按照准则实施过程控制；</w:t>
                  </w:r>
                </w:p>
              </w:tc>
              <w:tc>
                <w:tcPr>
                  <w:tcW w:w="26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运行控制记录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31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保持和保留必要的文件化信息，以确信过程已按策划得到实施；</w:t>
                  </w:r>
                </w:p>
              </w:tc>
              <w:tc>
                <w:tcPr>
                  <w:tcW w:w="2615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运行控制记录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使工作适合于工作人员。</w:t>
                  </w:r>
                </w:p>
              </w:tc>
              <w:tc>
                <w:tcPr>
                  <w:tcW w:w="26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征求员工的意见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在多雇主的工作场所，组织应与其他组织协调职业健康安全管理体系的相关部分。</w:t>
                  </w:r>
                </w:p>
              </w:tc>
              <w:tc>
                <w:tcPr>
                  <w:tcW w:w="2615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如：手册第8.1.2条款、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定期检修供电线路，增加防护措施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增加安全用电防护措施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有三级安全教育、操作培训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发放口罩、工作服、手套和防暑药品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变更管理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如：手册第8.1.3条款、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无变更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工作场所的位置和周边环境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工作组织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工作条件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设备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劳动力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法律法规要求和其他要求的变更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</w:rPr>
              <w:t>有关危险源和职业健康安全风险的知识或信息的变更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</w:rPr>
              <w:t>知识和技术的发展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highlight w:val="none"/>
              </w:rPr>
              <w:t>；</w:t>
            </w:r>
          </w:p>
          <w:p>
            <w:pPr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抽取变更相关记录名称：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8"/>
              <w:tblW w:w="89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506"/>
              <w:gridCol w:w="2128"/>
              <w:gridCol w:w="1392"/>
              <w:gridCol w:w="14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506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2128" w:type="dxa"/>
                  <w:vAlign w:val="top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变更性质</w:t>
                  </w:r>
                </w:p>
              </w:tc>
              <w:tc>
                <w:tcPr>
                  <w:tcW w:w="1392" w:type="dxa"/>
                </w:tcPr>
                <w:p>
                  <w:pPr>
                    <w:jc w:val="center"/>
                    <w:rPr>
                      <w:rFonts w:hint="default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1448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2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临时性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永久性</w:t>
                  </w:r>
                </w:p>
              </w:tc>
              <w:tc>
                <w:tcPr>
                  <w:tcW w:w="139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4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《消防应急预案》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2020.12.25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</w:rPr>
                    <w:t>消防知识教育及应急模拟火灾消防演练记录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pStyle w:val="18"/>
              <w:numPr>
                <w:ilvl w:val="2"/>
                <w:numId w:val="0"/>
              </w:numPr>
              <w:ind w:leftChars="0"/>
              <w:rPr>
                <w:rFonts w:hint="default" w:eastAsia="宋体"/>
                <w:lang w:val="en-US" w:eastAsia="zh-CN"/>
              </w:rPr>
            </w:pPr>
            <w:bookmarkStart w:id="0" w:name="_Toc17985696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监视、测量、分析和评价绩效</w:t>
            </w:r>
            <w:bookmarkEnd w:id="0"/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环境、安全运行控制程序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《公司环境因素识别评价表》、</w:t>
            </w:r>
            <w:r>
              <w:rPr>
                <w:rFonts w:hint="eastAsia"/>
                <w:lang w:val="en-US" w:eastAsia="zh-CN"/>
              </w:rPr>
              <w:t>《环境安全检查记录》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日常检查：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危化品管理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特种设备管理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持证上岗人员管理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安全隐患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消防管理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抽取监视、测量、分析和评价相关记录名称：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《日常检查记录》，每月综合管理部检查一次，每周车间负责人检查，均有记录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抽取监视、测量、分析和评价相关记录名称：</w:t>
            </w:r>
            <w:r>
              <w:rPr>
                <w:rFonts w:hint="eastAsia"/>
                <w:color w:val="auto"/>
                <w:u w:val="single"/>
              </w:rPr>
              <w:t>《环境安全检查记录》</w:t>
            </w:r>
          </w:p>
          <w:p>
            <w:pPr>
              <w:rPr>
                <w:color w:val="auto"/>
                <w:highlight w:val="cyan"/>
                <w:u w:val="single"/>
              </w:rPr>
            </w:pPr>
          </w:p>
          <w:tbl>
            <w:tblPr>
              <w:tblStyle w:val="8"/>
              <w:tblW w:w="90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9"/>
              <w:gridCol w:w="1634"/>
              <w:gridCol w:w="4200"/>
              <w:gridCol w:w="19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63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项目</w:t>
                  </w:r>
                </w:p>
              </w:tc>
              <w:tc>
                <w:tcPr>
                  <w:tcW w:w="420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检查结果</w:t>
                  </w:r>
                </w:p>
              </w:tc>
              <w:tc>
                <w:tcPr>
                  <w:tcW w:w="191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69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2020.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color w:val="auto"/>
                    </w:rPr>
                    <w:t>.1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5</w:t>
                  </w:r>
                </w:p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63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环境安全检查</w:t>
                  </w:r>
                </w:p>
              </w:tc>
              <w:tc>
                <w:tcPr>
                  <w:tcW w:w="420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设施完好，符合消防规定，无整改项</w:t>
                  </w:r>
                </w:p>
              </w:tc>
              <w:tc>
                <w:tcPr>
                  <w:tcW w:w="191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202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</w:rPr>
                    <w:t>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</w:rPr>
                    <w:t>.28</w:t>
                  </w:r>
                </w:p>
              </w:tc>
              <w:tc>
                <w:tcPr>
                  <w:tcW w:w="163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环境安全检查</w:t>
                  </w:r>
                </w:p>
              </w:tc>
              <w:tc>
                <w:tcPr>
                  <w:tcW w:w="420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设施完好，符合消防规定，无整改项</w:t>
                  </w:r>
                </w:p>
              </w:tc>
              <w:tc>
                <w:tcPr>
                  <w:tcW w:w="191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202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</w:rPr>
                    <w:t>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</w:rPr>
                    <w:t>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25</w:t>
                  </w:r>
                </w:p>
              </w:tc>
              <w:tc>
                <w:tcPr>
                  <w:tcW w:w="163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环境安全检查</w:t>
                  </w:r>
                </w:p>
              </w:tc>
              <w:tc>
                <w:tcPr>
                  <w:tcW w:w="420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设施完好，符合消防规定，无整改项</w:t>
                  </w:r>
                </w:p>
              </w:tc>
              <w:tc>
                <w:tcPr>
                  <w:tcW w:w="191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超标</w:t>
                  </w:r>
                </w:p>
              </w:tc>
            </w:tr>
          </w:tbl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第三方监测： 不适用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作业场所有害物质浓度检测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auto"/>
                <w:szCs w:val="18"/>
                <w:highlight w:val="none"/>
              </w:rPr>
              <w:t>监测报告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ind w:firstLine="210" w:firstLineChars="100"/>
              <w:rPr>
                <w:rFonts w:hint="default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资质证书编号：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ind w:firstLine="210" w:firstLineChars="100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达标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eastAsia"/>
                <w:color w:val="auto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体检报告：现场无职业病危害因素，不适用</w:t>
            </w:r>
          </w:p>
          <w:p>
            <w:pP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建筑消防</w:t>
            </w:r>
            <w:r>
              <w:rPr>
                <w:rFonts w:hint="eastAsia"/>
                <w:color w:val="auto"/>
                <w:szCs w:val="18"/>
                <w:highlight w:val="none"/>
              </w:rPr>
              <w:t>监测报告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      </w:t>
            </w:r>
          </w:p>
          <w:p>
            <w:pPr>
              <w:ind w:firstLine="210" w:firstLineChars="100"/>
              <w:rPr>
                <w:rFonts w:hint="default"/>
                <w:color w:val="auto"/>
                <w:highlight w:val="cyan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      ，结论：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管理手册、</w:t>
            </w:r>
            <w:r>
              <w:rPr>
                <w:rFonts w:hint="eastAsia"/>
                <w:lang w:val="en-US" w:eastAsia="zh-CN"/>
              </w:rPr>
              <w:t>《合规性评价控制程序》》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合规义务如下：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75"/>
              <w:gridCol w:w="1496"/>
              <w:gridCol w:w="2448"/>
              <w:gridCol w:w="19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5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1496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评价日期</w:t>
                  </w:r>
                </w:p>
              </w:tc>
              <w:tc>
                <w:tcPr>
                  <w:tcW w:w="2448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1924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5" w:type="dxa"/>
                  <w:vAlign w:val="top"/>
                </w:tcPr>
                <w:p>
                  <w:pPr>
                    <w:pStyle w:val="19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环境保护法</w:t>
                  </w:r>
                </w:p>
              </w:tc>
              <w:tc>
                <w:tcPr>
                  <w:tcW w:w="149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2020.12.15</w:t>
                  </w:r>
                </w:p>
              </w:tc>
              <w:tc>
                <w:tcPr>
                  <w:tcW w:w="24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92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5" w:type="dxa"/>
                  <w:vAlign w:val="top"/>
                </w:tcPr>
                <w:p>
                  <w:pPr>
                    <w:pStyle w:val="19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固体废物污染环境防治法</w:t>
                  </w:r>
                </w:p>
              </w:tc>
              <w:tc>
                <w:tcPr>
                  <w:tcW w:w="149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2020.12.15</w:t>
                  </w:r>
                </w:p>
              </w:tc>
              <w:tc>
                <w:tcPr>
                  <w:tcW w:w="24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92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5" w:type="dxa"/>
                  <w:vAlign w:val="top"/>
                </w:tcPr>
                <w:p>
                  <w:pPr>
                    <w:pStyle w:val="19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中华人民共务国消防法</w:t>
                  </w:r>
                </w:p>
              </w:tc>
              <w:tc>
                <w:tcPr>
                  <w:tcW w:w="14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2020.12.15</w:t>
                  </w:r>
                </w:p>
              </w:tc>
              <w:tc>
                <w:tcPr>
                  <w:tcW w:w="24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9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color w:val="auto"/>
                      <w:sz w:val="21"/>
                      <w:szCs w:val="21"/>
                    </w:rPr>
                    <w:t>江苏省节约能源条例</w:t>
                  </w:r>
                </w:p>
              </w:tc>
              <w:tc>
                <w:tcPr>
                  <w:tcW w:w="14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2020.12.15</w:t>
                  </w:r>
                </w:p>
              </w:tc>
              <w:tc>
                <w:tcPr>
                  <w:tcW w:w="24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9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O9.2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Q9.2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《内审控制程序》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近</w:t>
            </w:r>
            <w:r>
              <w:rPr>
                <w:rFonts w:hint="eastAsia"/>
                <w:color w:val="auto"/>
                <w:lang w:val="en-US" w:eastAsia="zh-CN"/>
              </w:rPr>
              <w:t>一年</w:t>
            </w:r>
            <w:r>
              <w:rPr>
                <w:rFonts w:hint="eastAsia"/>
                <w:color w:val="auto"/>
                <w:szCs w:val="18"/>
              </w:rPr>
              <w:t>，于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18"/>
                <w:u w:val="single"/>
              </w:rPr>
              <w:t>年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18"/>
                <w:u w:val="single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15-16</w:t>
            </w:r>
            <w:r>
              <w:rPr>
                <w:rFonts w:hint="eastAsia"/>
                <w:color w:val="auto"/>
                <w:szCs w:val="18"/>
                <w:u w:val="single"/>
              </w:rPr>
              <w:t>日</w:t>
            </w:r>
            <w:r>
              <w:rPr>
                <w:rFonts w:hint="eastAsia"/>
                <w:color w:val="auto"/>
                <w:szCs w:val="18"/>
              </w:rPr>
              <w:t>实施了内部审核；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内审计划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有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名内审员；有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内审检查表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与内审计划不一致缺少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管理层、综合管理部、生产部、销售部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；</w:t>
            </w:r>
          </w:p>
          <w:p>
            <w:pPr>
              <w:spacing w:before="120"/>
              <w:ind w:firstLine="420" w:firstLineChars="200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u w:val="single"/>
              </w:rPr>
              <w:t>查《新进员工培训》，但未能提供已对此次培训有效性进行评价的有关证实。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>不符合标准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u w:val="single"/>
              </w:rPr>
              <w:t>GB/T24001-2016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 xml:space="preserve">、 </w:t>
            </w:r>
            <w:r>
              <w:rPr>
                <w:rFonts w:ascii="宋体"/>
                <w:color w:val="000000"/>
                <w:u w:val="single"/>
              </w:rPr>
              <w:t>IS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>0</w:t>
            </w:r>
            <w:r>
              <w:rPr>
                <w:rFonts w:ascii="宋体"/>
                <w:color w:val="000000"/>
                <w:u w:val="single"/>
              </w:rPr>
              <w:t>45001-2018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 xml:space="preserve">    </w:t>
            </w:r>
            <w:r>
              <w:rPr>
                <w:rFonts w:ascii="宋体"/>
                <w:color w:val="000000"/>
                <w:u w:val="single"/>
              </w:rPr>
              <w:t>7.2</w:t>
            </w:r>
            <w:r>
              <w:rPr>
                <w:rFonts w:hint="eastAsia" w:ascii="宋体"/>
                <w:color w:val="000000"/>
                <w:u w:val="single"/>
              </w:rPr>
              <w:t>条款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不符合项已关闭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不符合项未关闭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结论：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体系运行有效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体系运行失效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不符合项未发生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 w:ascii="Arial" w:hAnsi="Arial"/>
              </w:rPr>
              <w:t>事件、</w:t>
            </w:r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不合格品和潜在不安全品控制程序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事件、不符合的来源：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未发生 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</w:t>
            </w: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职业病检测结果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工作运行中发现的问题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其他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                   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发生过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调查</w:t>
                  </w:r>
                  <w:r>
                    <w:rPr>
                      <w:rFonts w:hint="eastAsia"/>
                      <w:highlight w:val="none"/>
                    </w:rPr>
                    <w:t>事件和评审不符合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确定并实施纠正措施按照控制层级和变更管理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在采取措施前，评价与新的或变化的危险源相关的职业健康安全风险；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评审任何所采取措施的有效性，包括纠正措施；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在必要时，变更职业健康安全管理体系。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6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02B3B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3C3A7A"/>
    <w:rsid w:val="0148246F"/>
    <w:rsid w:val="01E27364"/>
    <w:rsid w:val="02113B23"/>
    <w:rsid w:val="021E04B6"/>
    <w:rsid w:val="02203F02"/>
    <w:rsid w:val="0228580F"/>
    <w:rsid w:val="026A697D"/>
    <w:rsid w:val="028120F9"/>
    <w:rsid w:val="02B64C88"/>
    <w:rsid w:val="02C75A20"/>
    <w:rsid w:val="02FE6E77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233C38"/>
    <w:rsid w:val="05422E8D"/>
    <w:rsid w:val="05450D9A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30702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434734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445BE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699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2BD5181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31EDD"/>
    <w:rsid w:val="142B1883"/>
    <w:rsid w:val="145B46D3"/>
    <w:rsid w:val="14642D75"/>
    <w:rsid w:val="14A349D6"/>
    <w:rsid w:val="14AA3BE9"/>
    <w:rsid w:val="14C400FD"/>
    <w:rsid w:val="14CC6277"/>
    <w:rsid w:val="14DC6D1E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637DD"/>
    <w:rsid w:val="16AB3CAD"/>
    <w:rsid w:val="16E341B9"/>
    <w:rsid w:val="16F10A78"/>
    <w:rsid w:val="17226BDD"/>
    <w:rsid w:val="17446813"/>
    <w:rsid w:val="177551EA"/>
    <w:rsid w:val="178419DC"/>
    <w:rsid w:val="1787546B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C11178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333FF"/>
    <w:rsid w:val="198F29B9"/>
    <w:rsid w:val="19D74BC7"/>
    <w:rsid w:val="19D814E5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8B7E0E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D479C4"/>
    <w:rsid w:val="1FF16224"/>
    <w:rsid w:val="1FF90883"/>
    <w:rsid w:val="201572E0"/>
    <w:rsid w:val="20272451"/>
    <w:rsid w:val="203255D2"/>
    <w:rsid w:val="20346C8F"/>
    <w:rsid w:val="20360EF9"/>
    <w:rsid w:val="20403C64"/>
    <w:rsid w:val="2054573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BC5CBD"/>
    <w:rsid w:val="21D24208"/>
    <w:rsid w:val="226B2F60"/>
    <w:rsid w:val="227B5AC7"/>
    <w:rsid w:val="22813299"/>
    <w:rsid w:val="229F2D1A"/>
    <w:rsid w:val="23094CB3"/>
    <w:rsid w:val="23363714"/>
    <w:rsid w:val="23461CA8"/>
    <w:rsid w:val="238A1BAA"/>
    <w:rsid w:val="23900E62"/>
    <w:rsid w:val="239357EF"/>
    <w:rsid w:val="239C1861"/>
    <w:rsid w:val="23AE7B47"/>
    <w:rsid w:val="23BF3886"/>
    <w:rsid w:val="23D95DBB"/>
    <w:rsid w:val="241A6B34"/>
    <w:rsid w:val="24285E2F"/>
    <w:rsid w:val="242A7B69"/>
    <w:rsid w:val="24553A74"/>
    <w:rsid w:val="246433E9"/>
    <w:rsid w:val="246A25EE"/>
    <w:rsid w:val="247622DE"/>
    <w:rsid w:val="2480482A"/>
    <w:rsid w:val="2483299C"/>
    <w:rsid w:val="24950DD7"/>
    <w:rsid w:val="24A05D8E"/>
    <w:rsid w:val="24F23E83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511FB7"/>
    <w:rsid w:val="26526708"/>
    <w:rsid w:val="269C7CAD"/>
    <w:rsid w:val="26F735B3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E45998"/>
    <w:rsid w:val="27FE6486"/>
    <w:rsid w:val="280B3F2E"/>
    <w:rsid w:val="280D1E20"/>
    <w:rsid w:val="28341F0D"/>
    <w:rsid w:val="28736D78"/>
    <w:rsid w:val="2892323E"/>
    <w:rsid w:val="289361DE"/>
    <w:rsid w:val="28C3395C"/>
    <w:rsid w:val="2901575D"/>
    <w:rsid w:val="291C5E47"/>
    <w:rsid w:val="293E1857"/>
    <w:rsid w:val="29513E8D"/>
    <w:rsid w:val="296D2D47"/>
    <w:rsid w:val="297E2ECB"/>
    <w:rsid w:val="298C2767"/>
    <w:rsid w:val="29A77C84"/>
    <w:rsid w:val="29CB46C2"/>
    <w:rsid w:val="29DD1C13"/>
    <w:rsid w:val="29F77BA5"/>
    <w:rsid w:val="2A3A6E77"/>
    <w:rsid w:val="2A564A4D"/>
    <w:rsid w:val="2A570814"/>
    <w:rsid w:val="2A7947B2"/>
    <w:rsid w:val="2A85024C"/>
    <w:rsid w:val="2AC116AD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3653F"/>
    <w:rsid w:val="2BD60481"/>
    <w:rsid w:val="2BEA3FA7"/>
    <w:rsid w:val="2C00679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255A6F"/>
    <w:rsid w:val="2F7C571D"/>
    <w:rsid w:val="2F7C614A"/>
    <w:rsid w:val="2FA86B66"/>
    <w:rsid w:val="2FE823A5"/>
    <w:rsid w:val="2FEA1C57"/>
    <w:rsid w:val="300172B8"/>
    <w:rsid w:val="30284CE9"/>
    <w:rsid w:val="306955DB"/>
    <w:rsid w:val="30945277"/>
    <w:rsid w:val="30C1548B"/>
    <w:rsid w:val="30C36ECA"/>
    <w:rsid w:val="30C71DD4"/>
    <w:rsid w:val="30CA3701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981B94"/>
    <w:rsid w:val="33C65FCE"/>
    <w:rsid w:val="33F07155"/>
    <w:rsid w:val="340C6245"/>
    <w:rsid w:val="34113C74"/>
    <w:rsid w:val="341F702C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AC00A3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2C6A37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786792"/>
    <w:rsid w:val="3BAB4C5D"/>
    <w:rsid w:val="3BC43B15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6F25ED"/>
    <w:rsid w:val="3F8B28F9"/>
    <w:rsid w:val="3F8E03C8"/>
    <w:rsid w:val="3FA434FD"/>
    <w:rsid w:val="3FB13910"/>
    <w:rsid w:val="3FB850F1"/>
    <w:rsid w:val="3FC72695"/>
    <w:rsid w:val="3FD70A70"/>
    <w:rsid w:val="3FF45816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13727"/>
    <w:rsid w:val="427A1188"/>
    <w:rsid w:val="428835A3"/>
    <w:rsid w:val="42BF734E"/>
    <w:rsid w:val="432A5E11"/>
    <w:rsid w:val="433B1167"/>
    <w:rsid w:val="4352128B"/>
    <w:rsid w:val="435F500F"/>
    <w:rsid w:val="436A30AC"/>
    <w:rsid w:val="43C730CD"/>
    <w:rsid w:val="44350F69"/>
    <w:rsid w:val="44A10586"/>
    <w:rsid w:val="44A567F5"/>
    <w:rsid w:val="45237F18"/>
    <w:rsid w:val="453B1EBC"/>
    <w:rsid w:val="45635AEC"/>
    <w:rsid w:val="45BA54FA"/>
    <w:rsid w:val="45C810D7"/>
    <w:rsid w:val="45D71EB0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8031E3"/>
    <w:rsid w:val="48D42AE6"/>
    <w:rsid w:val="48ED577E"/>
    <w:rsid w:val="494E6F4C"/>
    <w:rsid w:val="495D1E4B"/>
    <w:rsid w:val="497752EA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4A2391"/>
    <w:rsid w:val="4AD45EF1"/>
    <w:rsid w:val="4AE04A18"/>
    <w:rsid w:val="4B1513CB"/>
    <w:rsid w:val="4B337454"/>
    <w:rsid w:val="4B407CC6"/>
    <w:rsid w:val="4B42232B"/>
    <w:rsid w:val="4B464D61"/>
    <w:rsid w:val="4B825A76"/>
    <w:rsid w:val="4B8B3702"/>
    <w:rsid w:val="4B9B0D7E"/>
    <w:rsid w:val="4BAA3234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080C62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A4D33"/>
    <w:rsid w:val="4E7774D0"/>
    <w:rsid w:val="4EAA463D"/>
    <w:rsid w:val="4EBB3EBF"/>
    <w:rsid w:val="4F594843"/>
    <w:rsid w:val="4F88590D"/>
    <w:rsid w:val="4FAF4EA5"/>
    <w:rsid w:val="503C3BCC"/>
    <w:rsid w:val="50763D63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535835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2934A2"/>
    <w:rsid w:val="534F62F7"/>
    <w:rsid w:val="53660E02"/>
    <w:rsid w:val="536F60C1"/>
    <w:rsid w:val="53953BE7"/>
    <w:rsid w:val="53970F9D"/>
    <w:rsid w:val="53A35D6F"/>
    <w:rsid w:val="53C014E9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469FF"/>
    <w:rsid w:val="575B3098"/>
    <w:rsid w:val="57A14CB5"/>
    <w:rsid w:val="57F55B90"/>
    <w:rsid w:val="580F191D"/>
    <w:rsid w:val="58276F84"/>
    <w:rsid w:val="582C648F"/>
    <w:rsid w:val="58584813"/>
    <w:rsid w:val="58630024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7162C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BF840C2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0939FE"/>
    <w:rsid w:val="5D14631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EB1081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333EDB"/>
    <w:rsid w:val="5F551AC0"/>
    <w:rsid w:val="5F616E2A"/>
    <w:rsid w:val="5F7374F0"/>
    <w:rsid w:val="5FCC65B3"/>
    <w:rsid w:val="5FE015B4"/>
    <w:rsid w:val="5FE25FD5"/>
    <w:rsid w:val="6018182B"/>
    <w:rsid w:val="601E0F43"/>
    <w:rsid w:val="60250281"/>
    <w:rsid w:val="604E6EEE"/>
    <w:rsid w:val="60593BA5"/>
    <w:rsid w:val="60596F8D"/>
    <w:rsid w:val="608075E1"/>
    <w:rsid w:val="60CA48A5"/>
    <w:rsid w:val="60E47C4C"/>
    <w:rsid w:val="61017B9D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6168F8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4FE7845"/>
    <w:rsid w:val="65067C78"/>
    <w:rsid w:val="65305A43"/>
    <w:rsid w:val="653121E6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E842F6"/>
    <w:rsid w:val="6AF33939"/>
    <w:rsid w:val="6B0F60AF"/>
    <w:rsid w:val="6B742903"/>
    <w:rsid w:val="6B795D62"/>
    <w:rsid w:val="6B894EA4"/>
    <w:rsid w:val="6BC747F5"/>
    <w:rsid w:val="6BD35CE4"/>
    <w:rsid w:val="6BD82AE5"/>
    <w:rsid w:val="6BF66D35"/>
    <w:rsid w:val="6C1272FC"/>
    <w:rsid w:val="6C3014BE"/>
    <w:rsid w:val="6C396F84"/>
    <w:rsid w:val="6C5D414F"/>
    <w:rsid w:val="6C71110A"/>
    <w:rsid w:val="6C77423E"/>
    <w:rsid w:val="6C943419"/>
    <w:rsid w:val="6C9C2F85"/>
    <w:rsid w:val="6CDE17FD"/>
    <w:rsid w:val="6CF21452"/>
    <w:rsid w:val="6D1D2C91"/>
    <w:rsid w:val="6D232D3C"/>
    <w:rsid w:val="6D2F5D1E"/>
    <w:rsid w:val="6D517CC4"/>
    <w:rsid w:val="6D5B4A2E"/>
    <w:rsid w:val="6D792112"/>
    <w:rsid w:val="6DA004EB"/>
    <w:rsid w:val="6DE309B5"/>
    <w:rsid w:val="6E641038"/>
    <w:rsid w:val="6E887DC7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53E9B"/>
    <w:rsid w:val="709946EC"/>
    <w:rsid w:val="71090F4B"/>
    <w:rsid w:val="71180D95"/>
    <w:rsid w:val="71A368BA"/>
    <w:rsid w:val="71B20425"/>
    <w:rsid w:val="720F0499"/>
    <w:rsid w:val="724D262A"/>
    <w:rsid w:val="72702455"/>
    <w:rsid w:val="728F2E47"/>
    <w:rsid w:val="72973011"/>
    <w:rsid w:val="72A24472"/>
    <w:rsid w:val="72CD6505"/>
    <w:rsid w:val="72E21E1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14542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BFE022B"/>
    <w:rsid w:val="7C0471A6"/>
    <w:rsid w:val="7C090682"/>
    <w:rsid w:val="7C374197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2C1EF8"/>
    <w:rsid w:val="7F541664"/>
    <w:rsid w:val="7F697999"/>
    <w:rsid w:val="7F763028"/>
    <w:rsid w:val="7F9026D0"/>
    <w:rsid w:val="7F984417"/>
    <w:rsid w:val="7FC04332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三级条标题"/>
    <w:basedOn w:val="17"/>
    <w:next w:val="15"/>
    <w:qFormat/>
    <w:uiPriority w:val="0"/>
    <w:pPr>
      <w:numPr>
        <w:ilvl w:val="4"/>
        <w:numId w:val="1"/>
      </w:numPr>
      <w:outlineLvl w:val="4"/>
    </w:pPr>
  </w:style>
  <w:style w:type="paragraph" w:customStyle="1" w:styleId="17">
    <w:name w:val="二级条标题"/>
    <w:basedOn w:val="18"/>
    <w:next w:val="15"/>
    <w:qFormat/>
    <w:uiPriority w:val="0"/>
    <w:pPr>
      <w:numPr>
        <w:ilvl w:val="3"/>
        <w:numId w:val="1"/>
      </w:numPr>
      <w:outlineLvl w:val="3"/>
    </w:pPr>
  </w:style>
  <w:style w:type="paragraph" w:customStyle="1" w:styleId="18">
    <w:name w:val="一级条标题"/>
    <w:next w:val="15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styleId="1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2021-05-21T01:07:37Z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E4784D5DAD284783B84B16FD50786300</vt:lpwstr>
  </property>
</Properties>
</file>